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0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</w:tblGrid>
      <w:tr w:rsidR="0018390B" w:rsidRPr="00C65821" w14:paraId="1CB40D62" w14:textId="77777777" w:rsidTr="00A130FA">
        <w:trPr>
          <w:trHeight w:val="2410"/>
        </w:trPr>
        <w:tc>
          <w:tcPr>
            <w:tcW w:w="7088" w:type="dxa"/>
          </w:tcPr>
          <w:p w14:paraId="18F0EA99" w14:textId="77777777" w:rsidR="0018390B" w:rsidRPr="007870F5" w:rsidRDefault="0018390B" w:rsidP="00A130FA">
            <w:r w:rsidRPr="007870F5">
              <w:t>Energi</w:t>
            </w:r>
            <w:r>
              <w:t>net</w:t>
            </w:r>
          </w:p>
          <w:p w14:paraId="6D649C89" w14:textId="77777777" w:rsidR="0018390B" w:rsidRDefault="0018390B" w:rsidP="00A130FA">
            <w:proofErr w:type="spellStart"/>
            <w:r>
              <w:t>Tonne</w:t>
            </w:r>
            <w:proofErr w:type="spellEnd"/>
            <w:r>
              <w:t xml:space="preserve"> </w:t>
            </w:r>
            <w:proofErr w:type="spellStart"/>
            <w:r>
              <w:t>Kjærsvej</w:t>
            </w:r>
            <w:proofErr w:type="spellEnd"/>
            <w:r>
              <w:t xml:space="preserve"> 65</w:t>
            </w:r>
          </w:p>
          <w:p w14:paraId="47D6335F" w14:textId="77777777" w:rsidR="0018390B" w:rsidRDefault="0018390B" w:rsidP="00A130FA">
            <w:r>
              <w:t xml:space="preserve">7000 Fredericia </w:t>
            </w:r>
          </w:p>
          <w:p w14:paraId="7F7DAA3C" w14:textId="77777777" w:rsidR="0018390B" w:rsidRDefault="0018390B" w:rsidP="00A130FA"/>
          <w:p w14:paraId="12F8C120" w14:textId="77777777" w:rsidR="0018390B" w:rsidRPr="007870F5" w:rsidRDefault="0018390B" w:rsidP="00A130FA"/>
          <w:p w14:paraId="6C15AFE1" w14:textId="77777777" w:rsidR="0018390B" w:rsidRPr="007870F5" w:rsidRDefault="0018390B" w:rsidP="00A130FA"/>
          <w:p w14:paraId="170940FA" w14:textId="77777777" w:rsidR="0018390B" w:rsidRDefault="0018390B" w:rsidP="00A130FA"/>
          <w:p w14:paraId="590E8292" w14:textId="77777777" w:rsidR="0018390B" w:rsidRPr="00C65821" w:rsidRDefault="0018390B" w:rsidP="00A130FA">
            <w:r>
              <w:t xml:space="preserve">Høringssvaret sendt elektronisk til </w:t>
            </w:r>
            <w:hyperlink r:id="rId7" w:history="1">
              <w:r w:rsidRPr="00CE6428">
                <w:rPr>
                  <w:rStyle w:val="Hyperlink"/>
                </w:rPr>
                <w:t>bdi@energinet.dk</w:t>
              </w:r>
            </w:hyperlink>
            <w:r>
              <w:t xml:space="preserve"> og </w:t>
            </w:r>
            <w:hyperlink r:id="rId8" w:history="1">
              <w:r w:rsidRPr="00CE6428">
                <w:rPr>
                  <w:rStyle w:val="Hyperlink"/>
                </w:rPr>
                <w:t>myndighed@energinet.dk</w:t>
              </w:r>
            </w:hyperlink>
            <w:r>
              <w:t xml:space="preserve"> </w:t>
            </w:r>
          </w:p>
        </w:tc>
      </w:tr>
    </w:tbl>
    <w:p w14:paraId="4272231F" w14:textId="77777777" w:rsidR="0018390B" w:rsidRDefault="0018390B" w:rsidP="0018390B">
      <w:pPr>
        <w:tabs>
          <w:tab w:val="left" w:pos="2430"/>
        </w:tabs>
        <w:outlineLvl w:val="0"/>
        <w:rPr>
          <w:b/>
          <w:bCs/>
          <w:lang w:eastAsia="da-DK"/>
        </w:rPr>
      </w:pPr>
      <w:r>
        <w:rPr>
          <w:b/>
          <w:bCs/>
          <w:lang w:eastAsia="da-DK"/>
        </w:rPr>
        <w:tab/>
      </w:r>
    </w:p>
    <w:p w14:paraId="2FBA30C8" w14:textId="5C68FF56" w:rsidR="0018390B" w:rsidRDefault="0018390B" w:rsidP="0018390B">
      <w:pPr>
        <w:rPr>
          <w:szCs w:val="18"/>
        </w:rPr>
      </w:pPr>
      <w:r w:rsidRPr="004340FB">
        <w:rPr>
          <w:b/>
          <w:bCs/>
          <w:lang w:eastAsia="da-DK"/>
        </w:rPr>
        <w:t xml:space="preserve">Høringssvar: </w:t>
      </w:r>
      <w:r w:rsidRPr="0091565B">
        <w:rPr>
          <w:b/>
          <w:bCs/>
          <w:lang w:eastAsia="da-DK"/>
        </w:rPr>
        <w:t>Redegørelse for Elforsyningssikkerhed 202</w:t>
      </w:r>
      <w:r w:rsidR="00C54F52">
        <w:rPr>
          <w:b/>
          <w:bCs/>
          <w:lang w:eastAsia="da-DK"/>
        </w:rPr>
        <w:t>6</w:t>
      </w:r>
    </w:p>
    <w:p w14:paraId="14EE3E4D" w14:textId="62FDB45B" w:rsidR="0018390B" w:rsidRDefault="0018390B" w:rsidP="0018390B">
      <w:r w:rsidRPr="003F4CE3">
        <w:rPr>
          <w:szCs w:val="18"/>
        </w:rPr>
        <w:t xml:space="preserve">Landbrug &amp; Fødevarer har modtaget </w:t>
      </w:r>
      <w:r>
        <w:rPr>
          <w:szCs w:val="18"/>
        </w:rPr>
        <w:t xml:space="preserve">Energinets høringsmateriale om </w:t>
      </w:r>
      <w:r>
        <w:t>”</w:t>
      </w:r>
      <w:r w:rsidRPr="004C3D54">
        <w:t>Redegørelse for Elforsyningssikkerhed 202</w:t>
      </w:r>
      <w:r w:rsidR="00C54F52">
        <w:t>6</w:t>
      </w:r>
      <w:r>
        <w:t>” den 15. september 202</w:t>
      </w:r>
      <w:r w:rsidR="00C54F52">
        <w:t>6</w:t>
      </w:r>
      <w:r w:rsidR="005029A6">
        <w:t xml:space="preserve"> og takker for muligheden for at afgive bemærkninger hertil</w:t>
      </w:r>
      <w:r>
        <w:t xml:space="preserve">. </w:t>
      </w:r>
    </w:p>
    <w:p w14:paraId="75D4D827" w14:textId="77777777" w:rsidR="00692DE7" w:rsidRPr="00A755C4" w:rsidRDefault="00692DE7" w:rsidP="0018390B">
      <w:pPr>
        <w:rPr>
          <w:szCs w:val="18"/>
        </w:rPr>
      </w:pPr>
    </w:p>
    <w:p w14:paraId="24585BB7" w14:textId="6679B8BB" w:rsidR="0018390B" w:rsidRPr="00B87795" w:rsidRDefault="00C54F52" w:rsidP="0018390B">
      <w:pPr>
        <w:rPr>
          <w:b/>
          <w:bCs/>
          <w:szCs w:val="18"/>
        </w:rPr>
      </w:pPr>
      <w:r w:rsidRPr="00B87795">
        <w:rPr>
          <w:b/>
          <w:bCs/>
          <w:szCs w:val="18"/>
        </w:rPr>
        <w:t xml:space="preserve">Endnu et </w:t>
      </w:r>
      <w:r w:rsidR="00B87795">
        <w:rPr>
          <w:b/>
          <w:bCs/>
          <w:szCs w:val="18"/>
        </w:rPr>
        <w:t xml:space="preserve">dyrt </w:t>
      </w:r>
      <w:r w:rsidRPr="00B87795">
        <w:rPr>
          <w:b/>
          <w:bCs/>
          <w:szCs w:val="18"/>
        </w:rPr>
        <w:t>nøk</w:t>
      </w:r>
      <w:r w:rsidR="00B87795">
        <w:rPr>
          <w:b/>
          <w:bCs/>
          <w:szCs w:val="18"/>
        </w:rPr>
        <w:t xml:space="preserve"> på 2 min. </w:t>
      </w:r>
      <w:r w:rsidR="00B13DB1">
        <w:rPr>
          <w:b/>
          <w:bCs/>
          <w:szCs w:val="18"/>
        </w:rPr>
        <w:t xml:space="preserve">– </w:t>
      </w:r>
      <w:r w:rsidR="00B87795">
        <w:rPr>
          <w:b/>
          <w:bCs/>
          <w:szCs w:val="18"/>
        </w:rPr>
        <w:t xml:space="preserve">nu </w:t>
      </w:r>
      <w:r w:rsidR="00B13DB1">
        <w:rPr>
          <w:b/>
          <w:bCs/>
          <w:szCs w:val="18"/>
        </w:rPr>
        <w:t xml:space="preserve">planlægges efter </w:t>
      </w:r>
      <w:r w:rsidR="00B87795">
        <w:rPr>
          <w:b/>
          <w:bCs/>
          <w:szCs w:val="18"/>
        </w:rPr>
        <w:t xml:space="preserve">40 </w:t>
      </w:r>
      <w:r w:rsidR="00B13DB1">
        <w:rPr>
          <w:b/>
          <w:bCs/>
          <w:szCs w:val="18"/>
        </w:rPr>
        <w:t>afbruds</w:t>
      </w:r>
      <w:r w:rsidR="00B87795">
        <w:rPr>
          <w:b/>
          <w:bCs/>
          <w:szCs w:val="18"/>
        </w:rPr>
        <w:t>minutter i 2036</w:t>
      </w:r>
      <w:r w:rsidRPr="00B87795">
        <w:rPr>
          <w:b/>
          <w:bCs/>
          <w:szCs w:val="18"/>
        </w:rPr>
        <w:t xml:space="preserve"> </w:t>
      </w:r>
    </w:p>
    <w:p w14:paraId="3A37B095" w14:textId="36837FF1" w:rsidR="005029A6" w:rsidRPr="00B87795" w:rsidRDefault="005029A6" w:rsidP="005029A6">
      <w:r w:rsidRPr="00B87795">
        <w:t xml:space="preserve">Landbrug &amp; Fødevarer støtter den fortsatte elektrificering af samfundet og den grønne omstilling, som i stigende grad er afhængig af et velfungerende, robust og omkostningseffektivt </w:t>
      </w:r>
      <w:proofErr w:type="spellStart"/>
      <w:r w:rsidRPr="00B87795">
        <w:t>elsystem</w:t>
      </w:r>
      <w:proofErr w:type="spellEnd"/>
      <w:r w:rsidRPr="00B87795">
        <w:t xml:space="preserve">. </w:t>
      </w:r>
    </w:p>
    <w:p w14:paraId="073A37E0" w14:textId="057E1B93" w:rsidR="005029A6" w:rsidRDefault="005029A6" w:rsidP="005029A6">
      <w:r w:rsidRPr="00B87795">
        <w:t>Vores medlemmer bidrager allerede væsentligt til energisystemet gennem produktion af vedvarende energi, biogas, fleksibilitetsløsninger og elektrificering af produktionsprocesser.</w:t>
      </w:r>
    </w:p>
    <w:p w14:paraId="78021D9C" w14:textId="2769F822" w:rsidR="00806D98" w:rsidRDefault="00806D98" w:rsidP="005029A6">
      <w:r w:rsidRPr="00B87795">
        <w:t>Netop fordi elektrificeringen fortsætter, bliver omkostningerne ved afbrud og forsyningsforstyrrelser samtidig større for samfund og erhvervsliv. Det gælder ikke mindst fødevareerhvervet, hvor produktion, køling, ventilation, automatisering og digitale styringssystemer i stigende grad er afhængige af en stabil elforsyning.</w:t>
      </w:r>
      <w:r>
        <w:t xml:space="preserve"> Landbrug &amp; </w:t>
      </w:r>
      <w:r w:rsidR="004E3255" w:rsidRPr="004E3255">
        <w:t>Fødevarer</w:t>
      </w:r>
      <w:r>
        <w:t xml:space="preserve"> finder det derfor meget bekymrende</w:t>
      </w:r>
      <w:r w:rsidR="004E3255" w:rsidRPr="004E3255">
        <w:t>,</w:t>
      </w:r>
      <w:r>
        <w:t xml:space="preserve"> at Energinet igen i dette års redegørelse for </w:t>
      </w:r>
      <w:r w:rsidR="004E3255" w:rsidRPr="004E3255">
        <w:t>elforsyningssikkerheden</w:t>
      </w:r>
      <w:r>
        <w:t xml:space="preserve"> planlægger en fremtid med yderligere forventede afbrudsminutter. På blot to år er antallet af afbrudsminutter steget med 4 minutter til nu forventeligt 40 minutter i 2036. Det samfundsøkonomiske tab stiger i takt med elektrificeringen, så de 40 forventede afbrudsminutter i 2036 vil være langt dyrere</w:t>
      </w:r>
      <w:r w:rsidR="004E3255" w:rsidRPr="004E3255">
        <w:t>,</w:t>
      </w:r>
      <w:r>
        <w:t xml:space="preserve"> end hvis det havde været i dag.</w:t>
      </w:r>
    </w:p>
    <w:p w14:paraId="0B9AD47C" w14:textId="77777777" w:rsidR="00746C3D" w:rsidRDefault="00746C3D" w:rsidP="005029A6"/>
    <w:p w14:paraId="29F4D31F" w14:textId="6FB38DC6" w:rsidR="00806D98" w:rsidRDefault="00806D98" w:rsidP="005029A6">
      <w:r>
        <w:t>Det fremgår</w:t>
      </w:r>
      <w:r w:rsidR="00FE267C" w:rsidRPr="00FE267C">
        <w:t>,</w:t>
      </w:r>
      <w:r>
        <w:t xml:space="preserve"> at 32 af de 40 forventede afbrudsminutter kan henføres til DSO-nettet. Fordelingen giver anledning til bekymring. I dag er der lidt over 30 elnetselskaber, der alle har det til fælles</w:t>
      </w:r>
      <w:r w:rsidR="00FE267C" w:rsidRPr="00FE267C">
        <w:t>,</w:t>
      </w:r>
      <w:r>
        <w:t xml:space="preserve"> at de er private monopoler</w:t>
      </w:r>
      <w:r w:rsidR="00FE267C" w:rsidRPr="00FE267C">
        <w:t>,</w:t>
      </w:r>
      <w:r>
        <w:t xml:space="preserve"> der er </w:t>
      </w:r>
      <w:r w:rsidR="00FE267C" w:rsidRPr="00FE267C">
        <w:t>indtægtsrammeregulerede.</w:t>
      </w:r>
      <w:r>
        <w:t xml:space="preserve"> Heri ligger et eksplicit incitament til at levere en høj grad af leveringssikkerhed, </w:t>
      </w:r>
      <w:r w:rsidR="00FE267C" w:rsidRPr="00FE267C">
        <w:t xml:space="preserve">da manglende leveringssikkerhed </w:t>
      </w:r>
      <w:r>
        <w:t xml:space="preserve">ellers reguleres i indtægtsrammen. Denne fordeling giver anledning til en række spørgsmål om, hvorvidt der burde være større fokus på kapacitetsudnyttelsen og </w:t>
      </w:r>
      <w:proofErr w:type="spellStart"/>
      <w:r>
        <w:t>netudbygningen</w:t>
      </w:r>
      <w:proofErr w:type="spellEnd"/>
      <w:r>
        <w:t xml:space="preserve"> i distributionsnettene. I dag er der overordentlig stor risiko for, at der foretages suboptimerende tiltag</w:t>
      </w:r>
      <w:r w:rsidR="00FE267C" w:rsidRPr="00FE267C">
        <w:t>,</w:t>
      </w:r>
      <w:r>
        <w:t xml:space="preserve"> som ikke gavner det samlede elnet i Danmark. Øget transparens om</w:t>
      </w:r>
      <w:r w:rsidR="00FE267C" w:rsidRPr="00FE267C">
        <w:t>,</w:t>
      </w:r>
      <w:r>
        <w:t xml:space="preserve"> hvor belastningerne opstår</w:t>
      </w:r>
      <w:r w:rsidR="00FE267C" w:rsidRPr="00FE267C">
        <w:t>,</w:t>
      </w:r>
      <w:r>
        <w:t xml:space="preserve"> sammenholdt med koordinerede initiativer på tværs af DSO-operatørerne vil kunne afbøde dette og dermed øge effektiviteten i nettet. </w:t>
      </w:r>
      <w:r w:rsidR="00FE267C" w:rsidRPr="00FE267C">
        <w:t>Hovedformålet bør være</w:t>
      </w:r>
      <w:r>
        <w:t xml:space="preserve"> at maksimere den operationelle kapacitet i det </w:t>
      </w:r>
      <w:r w:rsidR="0002506A">
        <w:t xml:space="preserve">kollektive </w:t>
      </w:r>
      <w:r>
        <w:t xml:space="preserve">net </w:t>
      </w:r>
      <w:r w:rsidR="00FE267C" w:rsidRPr="00FE267C">
        <w:t>frem for</w:t>
      </w:r>
      <w:r>
        <w:t xml:space="preserve"> lokal indtjeningsoptimering.</w:t>
      </w:r>
    </w:p>
    <w:p w14:paraId="519E653F" w14:textId="77777777" w:rsidR="00D0514B" w:rsidRDefault="00D0514B" w:rsidP="005029A6"/>
    <w:p w14:paraId="580D97C3" w14:textId="3CAEC0FE" w:rsidR="00706103" w:rsidRPr="00706103" w:rsidRDefault="00706103" w:rsidP="00706103">
      <w:pPr>
        <w:rPr>
          <w:b/>
          <w:bCs/>
        </w:rPr>
      </w:pPr>
      <w:r w:rsidRPr="00706103">
        <w:rPr>
          <w:b/>
          <w:bCs/>
        </w:rPr>
        <w:t>Øget fokus på effekttilstrækkelighed og afhængighed af udlandet</w:t>
      </w:r>
    </w:p>
    <w:p w14:paraId="03F660B5" w14:textId="58A24B4A" w:rsidR="00806D98" w:rsidRDefault="00806D98" w:rsidP="00706103">
      <w:r>
        <w:t xml:space="preserve">Energinets vurdering af effekttilstrækkeligheden er ændret ganske betragteligt siden sidste </w:t>
      </w:r>
      <w:r w:rsidR="005C6385" w:rsidRPr="005C6385">
        <w:t>års redegørelse</w:t>
      </w:r>
      <w:r>
        <w:t xml:space="preserve">. Hvor der i 2025-redegørelsen </w:t>
      </w:r>
      <w:r w:rsidR="005C6385" w:rsidRPr="005C6385">
        <w:t>var</w:t>
      </w:r>
      <w:r>
        <w:t xml:space="preserve"> en forventning om mere end 10 timers </w:t>
      </w:r>
      <w:proofErr w:type="spellStart"/>
      <w:r w:rsidRPr="00706103">
        <w:t>Loss</w:t>
      </w:r>
      <w:proofErr w:type="spellEnd"/>
      <w:r w:rsidRPr="00706103">
        <w:t xml:space="preserve"> of Load </w:t>
      </w:r>
      <w:proofErr w:type="spellStart"/>
      <w:r w:rsidRPr="00706103">
        <w:t>Expectation</w:t>
      </w:r>
      <w:proofErr w:type="spellEnd"/>
      <w:r w:rsidRPr="00706103">
        <w:t xml:space="preserve"> </w:t>
      </w:r>
      <w:r>
        <w:t>(LOLE) et årti frem og op til 4 afbrudsminutter relateret til effektmangel</w:t>
      </w:r>
      <w:r w:rsidR="005C6385" w:rsidRPr="005C6385">
        <w:t>,</w:t>
      </w:r>
      <w:r>
        <w:t xml:space="preserve"> forventer Energinet nu blot 3 timers LOLE og 30 sekunders afbrud som følge af effekttilstrækkelighed.</w:t>
      </w:r>
    </w:p>
    <w:p w14:paraId="4C1B6CD3" w14:textId="77777777" w:rsidR="00C55C6C" w:rsidRDefault="00C55C6C" w:rsidP="00706103"/>
    <w:p w14:paraId="73606599" w14:textId="77777777" w:rsidR="00846CD4" w:rsidRDefault="00846CD4" w:rsidP="00706103"/>
    <w:p w14:paraId="65E300AE" w14:textId="2A5D7A5A" w:rsidR="00823AA1" w:rsidRDefault="00846CD4" w:rsidP="00DC08AE">
      <w:r>
        <w:lastRenderedPageBreak/>
        <w:t>Det er u</w:t>
      </w:r>
      <w:r w:rsidR="00806D98">
        <w:t xml:space="preserve">middelbart </w:t>
      </w:r>
      <w:r>
        <w:t xml:space="preserve">godt med en forbedret </w:t>
      </w:r>
      <w:r w:rsidR="00806D98">
        <w:t>prognose</w:t>
      </w:r>
      <w:r>
        <w:t xml:space="preserve">, men det viser sig at den </w:t>
      </w:r>
      <w:r w:rsidR="00806D98">
        <w:t xml:space="preserve">beror på en forudsætning om, </w:t>
      </w:r>
      <w:r>
        <w:t xml:space="preserve">at </w:t>
      </w:r>
      <w:r w:rsidR="00806D98">
        <w:t xml:space="preserve">en række europæiske lande </w:t>
      </w:r>
      <w:r>
        <w:t xml:space="preserve">skal </w:t>
      </w:r>
      <w:r w:rsidR="00806D98">
        <w:t xml:space="preserve">iværksætte tiltag til sikring af deres effekttilstrækkelighed, herunder kapacitetsmekanismer. </w:t>
      </w:r>
      <w:r>
        <w:t>Det betyder at den danske forsyningssikkerhed i stigende grad bliver afhængig af politiske og regulatoriske beslutninger i andre lande. Det er fint at adressere</w:t>
      </w:r>
      <w:r w:rsidR="006B31A2">
        <w:t xml:space="preserve"> denne usikkerhed i redegørelsen</w:t>
      </w:r>
      <w:r>
        <w:t xml:space="preserve">, at driften af det danske net ikke baseres på </w:t>
      </w:r>
      <w:proofErr w:type="spellStart"/>
      <w:r>
        <w:t>ødrift</w:t>
      </w:r>
      <w:proofErr w:type="spellEnd"/>
      <w:r w:rsidR="006B31A2">
        <w:t>.</w:t>
      </w:r>
    </w:p>
    <w:p w14:paraId="589E3ABC" w14:textId="77777777" w:rsidR="00823AA1" w:rsidRDefault="00823AA1" w:rsidP="00DC08AE"/>
    <w:p w14:paraId="0A550F73" w14:textId="7AA03596" w:rsidR="00806D98" w:rsidRDefault="006B31A2" w:rsidP="00DC08AE">
      <w:r>
        <w:t>Prognosef</w:t>
      </w:r>
      <w:r w:rsidR="00806D98">
        <w:t>orudsætning</w:t>
      </w:r>
      <w:r>
        <w:t>en</w:t>
      </w:r>
      <w:r w:rsidR="00806D98">
        <w:t xml:space="preserve"> er et signal om den fælles fremdrift hen mod en egentlig energiunion, men meget kan ske inden da – og det</w:t>
      </w:r>
      <w:r w:rsidR="00937E6D" w:rsidRPr="00937E6D">
        <w:t>,</w:t>
      </w:r>
      <w:r w:rsidR="00806D98">
        <w:t xml:space="preserve"> der bekymrer mest</w:t>
      </w:r>
      <w:r w:rsidR="00937E6D" w:rsidRPr="00937E6D">
        <w:t>, er</w:t>
      </w:r>
      <w:r w:rsidR="00806D98">
        <w:t xml:space="preserve"> risikoen for, at der ikke sker nok i de andre lande. </w:t>
      </w:r>
      <w:r>
        <w:t xml:space="preserve">Norge og Sverige </w:t>
      </w:r>
      <w:r w:rsidR="00823AA1">
        <w:t xml:space="preserve">diskuterer fx </w:t>
      </w:r>
      <w:r>
        <w:t xml:space="preserve">i det offentlige rum, hvorvidt der fortsat skal være den samme kapacitet på søkabler til Danmark. Med </w:t>
      </w:r>
      <w:r w:rsidR="00823AA1">
        <w:t xml:space="preserve">en </w:t>
      </w:r>
      <w:r>
        <w:t>forventet øget nordeuropæisk VE-produktion</w:t>
      </w:r>
      <w:r w:rsidR="00823AA1">
        <w:t xml:space="preserve"> de kommende år, </w:t>
      </w:r>
      <w:r w:rsidR="00AF4220">
        <w:t xml:space="preserve">bidrager </w:t>
      </w:r>
      <w:r w:rsidR="00823AA1">
        <w:t>diskussionen om søkabler blot</w:t>
      </w:r>
      <w:r w:rsidR="00AF4220">
        <w:t xml:space="preserve"> til</w:t>
      </w:r>
      <w:r w:rsidR="00823AA1">
        <w:t xml:space="preserve"> usikkerheden om fremtidens effekttilstrækkelighed. </w:t>
      </w:r>
      <w:r>
        <w:t xml:space="preserve">Vi er </w:t>
      </w:r>
      <w:r w:rsidR="00823AA1">
        <w:t xml:space="preserve">derfor </w:t>
      </w:r>
      <w:r>
        <w:t>bekymrende for</w:t>
      </w:r>
      <w:r w:rsidR="00AF4220">
        <w:t>,</w:t>
      </w:r>
      <w:r w:rsidR="00823AA1">
        <w:t xml:space="preserve"> at konkurrenceevnen svækkes for </w:t>
      </w:r>
      <w:r>
        <w:t>danske virksomheder</w:t>
      </w:r>
      <w:r w:rsidR="00823AA1">
        <w:t>,</w:t>
      </w:r>
      <w:r>
        <w:t xml:space="preserve"> hvis andre lande ikke leverer som forventet til det kollektive europæiske net. Dertil </w:t>
      </w:r>
      <w:r w:rsidR="00AF4220">
        <w:t xml:space="preserve">opstår </w:t>
      </w:r>
      <w:r>
        <w:t xml:space="preserve">en anden usikkerhed </w:t>
      </w:r>
      <w:r w:rsidR="00AF4220">
        <w:t>i</w:t>
      </w:r>
      <w:r>
        <w:t xml:space="preserve">, at </w:t>
      </w:r>
      <w:r w:rsidR="00806D98">
        <w:t xml:space="preserve">Danmark og </w:t>
      </w:r>
      <w:r w:rsidR="00937E6D" w:rsidRPr="00937E6D">
        <w:t>nabolandene</w:t>
      </w:r>
      <w:r w:rsidR="00806D98">
        <w:t xml:space="preserve"> forlader sig på nogenlunde samme VE-teknologier, så risikoen for </w:t>
      </w:r>
      <w:r w:rsidR="00EF0326">
        <w:t xml:space="preserve">en vis grad af </w:t>
      </w:r>
      <w:r w:rsidR="00806D98">
        <w:t xml:space="preserve">sammenfaldende over- og </w:t>
      </w:r>
      <w:r w:rsidR="00937E6D" w:rsidRPr="00937E6D">
        <w:t>underproduktion</w:t>
      </w:r>
      <w:r w:rsidR="00806D98">
        <w:t xml:space="preserve"> </w:t>
      </w:r>
      <w:r w:rsidR="00EF0326">
        <w:t xml:space="preserve">når vinden blæser </w:t>
      </w:r>
      <w:r w:rsidR="00806D98">
        <w:t xml:space="preserve">er </w:t>
      </w:r>
      <w:r w:rsidR="00EF0326">
        <w:t xml:space="preserve">dermed </w:t>
      </w:r>
      <w:r w:rsidR="00806D98">
        <w:t xml:space="preserve">til stede. Det er </w:t>
      </w:r>
      <w:r w:rsidR="00823AA1">
        <w:t xml:space="preserve">dog </w:t>
      </w:r>
      <w:r w:rsidR="00806D98">
        <w:t xml:space="preserve">positivt, at Energinet adresserer denne usikkerhed i rapporten. Det vurderes her, at manglende europæisk effekthjælp til den tid vil udløse </w:t>
      </w:r>
      <w:r w:rsidR="00937E6D" w:rsidRPr="00937E6D">
        <w:t>henholdsvis 14 timers</w:t>
      </w:r>
      <w:r w:rsidR="00806D98">
        <w:t xml:space="preserve"> LOLE og 15 afbrudsminutter i 2036</w:t>
      </w:r>
      <w:r>
        <w:t>, hvilket er markant mere</w:t>
      </w:r>
      <w:r w:rsidR="00AF4220">
        <w:t>,</w:t>
      </w:r>
      <w:r>
        <w:t xml:space="preserve"> end hvis det går som Energinet i udgangspunktet antager</w:t>
      </w:r>
      <w:r w:rsidR="00806D98">
        <w:t>.</w:t>
      </w:r>
    </w:p>
    <w:p w14:paraId="60A9B7F0" w14:textId="77777777" w:rsidR="00597E95" w:rsidRDefault="00597E95" w:rsidP="00706103">
      <w:pPr>
        <w:rPr>
          <w:b/>
          <w:bCs/>
        </w:rPr>
      </w:pPr>
    </w:p>
    <w:p w14:paraId="4123DA8E" w14:textId="740AE2BF" w:rsidR="00706103" w:rsidRPr="00597E95" w:rsidRDefault="00706103" w:rsidP="00706103">
      <w:pPr>
        <w:rPr>
          <w:b/>
          <w:bCs/>
        </w:rPr>
      </w:pPr>
      <w:r w:rsidRPr="00597E95">
        <w:rPr>
          <w:b/>
          <w:bCs/>
        </w:rPr>
        <w:t>Kapacitetsmekanisme bør udformes teknologineutralt</w:t>
      </w:r>
    </w:p>
    <w:p w14:paraId="0A6A91A5" w14:textId="7A542478" w:rsidR="00806D98" w:rsidRDefault="00806D98" w:rsidP="00706103">
      <w:r>
        <w:t xml:space="preserve">Det fremgår, at Energinet nu vurderer, at en dansk kapacitetsmekanisme sandsynligvis bliver nødvendig for at overholde den foreslåede danske pålidelighedsstandard. Landbrug &amp; Fødevarer anbefaler, at en fremtidig kapacitetsmekanisme </w:t>
      </w:r>
      <w:r w:rsidR="00896523" w:rsidRPr="00896523">
        <w:t>udformes teknologineutralt,</w:t>
      </w:r>
      <w:r>
        <w:t xml:space="preserve"> og </w:t>
      </w:r>
      <w:r w:rsidR="00896523" w:rsidRPr="00896523">
        <w:t>at</w:t>
      </w:r>
      <w:r>
        <w:t xml:space="preserve"> omkostningerne fordeles på en måde, som ikke unødigt svækker konkurrenceevnen for danske virksomheder, herunder </w:t>
      </w:r>
      <w:r w:rsidR="00896523" w:rsidRPr="00896523">
        <w:t>inden for</w:t>
      </w:r>
      <w:r>
        <w:t xml:space="preserve"> fødevareproduktion.</w:t>
      </w:r>
    </w:p>
    <w:p w14:paraId="672284C8" w14:textId="77777777" w:rsidR="00706103" w:rsidRDefault="00706103" w:rsidP="00706103"/>
    <w:p w14:paraId="324CE5F7" w14:textId="3A23E8D1" w:rsidR="00706103" w:rsidRPr="00597E95" w:rsidRDefault="00706103" w:rsidP="00706103">
      <w:pPr>
        <w:rPr>
          <w:b/>
          <w:bCs/>
        </w:rPr>
      </w:pPr>
      <w:r w:rsidRPr="00597E95">
        <w:rPr>
          <w:b/>
          <w:bCs/>
        </w:rPr>
        <w:t>Fleksibilitet må ikke blive en skjult meromkostning</w:t>
      </w:r>
    </w:p>
    <w:p w14:paraId="186A2CFA" w14:textId="41209765" w:rsidR="00706103" w:rsidRDefault="00706103" w:rsidP="00706103">
      <w:r>
        <w:t xml:space="preserve">Landbrug &amp; Fødevarer anerkender behovet for øget fleksibilitet i </w:t>
      </w:r>
      <w:proofErr w:type="spellStart"/>
      <w:r>
        <w:t>elsystemet</w:t>
      </w:r>
      <w:proofErr w:type="spellEnd"/>
      <w:r>
        <w:t>.</w:t>
      </w:r>
      <w:r w:rsidR="00597E95">
        <w:t xml:space="preserve"> </w:t>
      </w:r>
      <w:r>
        <w:t xml:space="preserve">Vi finder det imidlertid vigtigt at understrege, at fleksibilitet ikke er gratis. Mange produktionsprocesser inden for </w:t>
      </w:r>
      <w:r w:rsidR="00EF0326">
        <w:t>landbrugs- og fødevareindustri</w:t>
      </w:r>
      <w:r>
        <w:t xml:space="preserve"> er biologiske eller kontinuerte og kan ikke uden videre flyttes som reaktion på elpriser eller lokale </w:t>
      </w:r>
      <w:proofErr w:type="spellStart"/>
      <w:r>
        <w:t>netsignaler</w:t>
      </w:r>
      <w:proofErr w:type="spellEnd"/>
      <w:r>
        <w:t>.</w:t>
      </w:r>
      <w:r w:rsidR="009C1F39">
        <w:t xml:space="preserve"> </w:t>
      </w:r>
      <w:r>
        <w:t>Landbrug &amp; Fødevarer finder derfor anledning til at bemærke, at begrænset netadgang og afbrydelighedsløsninger ikke bør udvikle sig til de facto-standardløsninger for erhvervslivet uden passende kompensation og klare rammer.</w:t>
      </w:r>
    </w:p>
    <w:p w14:paraId="3C4C42EB" w14:textId="77777777" w:rsidR="00706103" w:rsidRDefault="00706103" w:rsidP="00706103"/>
    <w:p w14:paraId="54B011E1" w14:textId="44336F5C" w:rsidR="00706103" w:rsidRPr="009C1F39" w:rsidRDefault="00706103" w:rsidP="00706103">
      <w:pPr>
        <w:rPr>
          <w:b/>
          <w:bCs/>
        </w:rPr>
      </w:pPr>
      <w:r w:rsidRPr="009C1F39">
        <w:rPr>
          <w:b/>
          <w:bCs/>
        </w:rPr>
        <w:t>Robusthed og spændingskvalitet bør have større fokus</w:t>
      </w:r>
    </w:p>
    <w:p w14:paraId="36FAB6EA" w14:textId="64D004E4" w:rsidR="00806D98" w:rsidRDefault="00806D98" w:rsidP="00655841">
      <w:r>
        <w:t xml:space="preserve">Det er positivt, at Energinet har udbygget analysen af robusthed og systemstabilitet betydeligt, herunder erfaringerne fra blackoutet på </w:t>
      </w:r>
      <w:r w:rsidR="0062627C" w:rsidRPr="0062627C">
        <w:t>Den</w:t>
      </w:r>
      <w:r>
        <w:t xml:space="preserve"> Iberiske </w:t>
      </w:r>
      <w:r w:rsidR="0062627C" w:rsidRPr="0062627C">
        <w:t>Halvø</w:t>
      </w:r>
      <w:r>
        <w:t xml:space="preserve">. Dog savnes fortsat en mere eksplicit behandling af </w:t>
      </w:r>
      <w:proofErr w:type="spellStart"/>
      <w:r>
        <w:t>elkvalitet</w:t>
      </w:r>
      <w:proofErr w:type="spellEnd"/>
      <w:r>
        <w:t xml:space="preserve"> set fra </w:t>
      </w:r>
      <w:r w:rsidR="0062627C" w:rsidRPr="0062627C">
        <w:t>slutbrugernes perspektiv.</w:t>
      </w:r>
      <w:r>
        <w:t xml:space="preserve"> Mange virksomheder oplever i dag spændingsdyk og mindre spændingsforstyrrelser, hvilket fører til utilsigtede stop af produktionsudstyr med deraf </w:t>
      </w:r>
      <w:r w:rsidR="0062627C" w:rsidRPr="0062627C">
        <w:t xml:space="preserve">følgende </w:t>
      </w:r>
      <w:r>
        <w:t xml:space="preserve">tab af materiel og råvarer </w:t>
      </w:r>
      <w:r w:rsidR="0062627C" w:rsidRPr="0062627C">
        <w:t>samt</w:t>
      </w:r>
      <w:r>
        <w:t xml:space="preserve"> et større spild af arbejdstimer.</w:t>
      </w:r>
      <w:r w:rsidR="00823AA1">
        <w:t xml:space="preserve"> </w:t>
      </w:r>
      <w:r>
        <w:t xml:space="preserve">De økonomiske konsekvenser af sådanne hændelser kan være betydelige, selv når de ikke registreres som egentlige afbrud. Landbrug &amp; Fødevarer anbefaler derfor, at fremtidige redegørelser indeholder en mere detaljeret beskrivelse af udviklingen i leveringskvalitet og spændingsforhold. Problemet er </w:t>
      </w:r>
      <w:r w:rsidR="00FC4D0B" w:rsidRPr="00FC4D0B">
        <w:t>allerede</w:t>
      </w:r>
      <w:r>
        <w:t xml:space="preserve"> stort</w:t>
      </w:r>
      <w:r w:rsidR="00FC4D0B" w:rsidRPr="00FC4D0B">
        <w:t xml:space="preserve"> og vokser</w:t>
      </w:r>
      <w:r>
        <w:t xml:space="preserve"> med </w:t>
      </w:r>
      <w:r w:rsidR="00FC4D0B" w:rsidRPr="00FC4D0B">
        <w:t>den øgede</w:t>
      </w:r>
      <w:r>
        <w:t xml:space="preserve"> digitalisering </w:t>
      </w:r>
      <w:r w:rsidR="00FC4D0B" w:rsidRPr="00FC4D0B">
        <w:t>af</w:t>
      </w:r>
      <w:r>
        <w:t xml:space="preserve"> de fleste produktionsaspekter. </w:t>
      </w:r>
      <w:r w:rsidR="00FC4D0B" w:rsidRPr="00FC4D0B">
        <w:t>Det er en</w:t>
      </w:r>
      <w:r>
        <w:t xml:space="preserve"> nødvendig digitalisering</w:t>
      </w:r>
      <w:r w:rsidR="00FC4D0B" w:rsidRPr="00FC4D0B">
        <w:t>,</w:t>
      </w:r>
      <w:r>
        <w:t xml:space="preserve"> der ikke mindst kan henføres til øget regulering af det stadigt mere komplekse elmarked. Det fører til øget brug af fintfølende maskiner, som er sårbare </w:t>
      </w:r>
      <w:r w:rsidR="00FC4D0B" w:rsidRPr="00FC4D0B">
        <w:t>over for</w:t>
      </w:r>
      <w:r>
        <w:t xml:space="preserve"> selv små udsving i den leverede </w:t>
      </w:r>
      <w:proofErr w:type="spellStart"/>
      <w:r w:rsidR="00FC4D0B" w:rsidRPr="00FC4D0B">
        <w:t>elkvalitet</w:t>
      </w:r>
      <w:proofErr w:type="spellEnd"/>
      <w:r>
        <w:t>. Selv et kortvarigt</w:t>
      </w:r>
      <w:r w:rsidR="00FC4D0B" w:rsidRPr="00FC4D0B">
        <w:t>,</w:t>
      </w:r>
      <w:r>
        <w:t xml:space="preserve"> næsten </w:t>
      </w:r>
      <w:r w:rsidR="00FC4D0B" w:rsidRPr="00FC4D0B">
        <w:lastRenderedPageBreak/>
        <w:t>umåleligt</w:t>
      </w:r>
      <w:r>
        <w:t xml:space="preserve"> spændingsdyk kan ødelægge fintfølende produktionsudstyr </w:t>
      </w:r>
      <w:r w:rsidR="00FC4D0B" w:rsidRPr="00FC4D0B">
        <w:t>og</w:t>
      </w:r>
      <w:r>
        <w:t xml:space="preserve"> dermed </w:t>
      </w:r>
      <w:r w:rsidR="00FC4D0B" w:rsidRPr="00FC4D0B">
        <w:t>lægge</w:t>
      </w:r>
      <w:r>
        <w:t xml:space="preserve"> produktionslinjer ned.</w:t>
      </w:r>
    </w:p>
    <w:p w14:paraId="5393ED25" w14:textId="77777777" w:rsidR="00655841" w:rsidRDefault="00655841" w:rsidP="00706103"/>
    <w:p w14:paraId="3DE6F416" w14:textId="02F56C86" w:rsidR="00706103" w:rsidRPr="009C1F39" w:rsidRDefault="00706103" w:rsidP="00706103">
      <w:pPr>
        <w:rPr>
          <w:b/>
          <w:bCs/>
        </w:rPr>
      </w:pPr>
      <w:r w:rsidRPr="009C1F39">
        <w:rPr>
          <w:b/>
          <w:bCs/>
        </w:rPr>
        <w:t>Fødevaresektoren som kritisk samfundsfunktion</w:t>
      </w:r>
    </w:p>
    <w:p w14:paraId="2F6C33CD" w14:textId="033C6081" w:rsidR="005029A6" w:rsidRDefault="00706103" w:rsidP="00706103">
      <w:r>
        <w:t>Landbrug &amp; Fødevarer finder det positivt, at sikkerhed og beredskab nu indgår som et selvstændigt element i vurderingen af elforsyningssikkerheden.</w:t>
      </w:r>
      <w:r w:rsidR="009C1F39">
        <w:t xml:space="preserve"> </w:t>
      </w:r>
      <w:r>
        <w:t>I takt med det skærpede trusselsbillede bør der være fokus på, hvordan kritiske fødevar</w:t>
      </w:r>
      <w:r w:rsidR="009C1F39">
        <w:t>e</w:t>
      </w:r>
      <w:r>
        <w:t>virksomheder indgår i beredskabsplanlægning og genopretning efter større hændelser.</w:t>
      </w:r>
      <w:r w:rsidR="009C1F39">
        <w:t xml:space="preserve"> </w:t>
      </w:r>
      <w:r>
        <w:t>Fødevareforsyning er en grundlæggende samfundsfunktion, og det er vigtigt, at dette afspejles i den fremtidige beredskabsplanlægning.</w:t>
      </w:r>
    </w:p>
    <w:p w14:paraId="264DE7AA" w14:textId="77777777" w:rsidR="005029A6" w:rsidRDefault="005029A6" w:rsidP="0018390B"/>
    <w:p w14:paraId="03154D90" w14:textId="3929C4A7" w:rsidR="00806D98" w:rsidRDefault="00806D98" w:rsidP="005463EA">
      <w:r w:rsidRPr="0087467A">
        <w:t xml:space="preserve">Landbrug &amp; Fødevarer vil gerne forbeholde </w:t>
      </w:r>
      <w:r w:rsidR="0002506A" w:rsidRPr="0002506A">
        <w:t>sig</w:t>
      </w:r>
      <w:r w:rsidRPr="0087467A">
        <w:t xml:space="preserve"> muligheden for at vende tilbage med yderligere kommentarer, hvis vi finder behov for dette. Ønskes ovenstående uddybet</w:t>
      </w:r>
      <w:r w:rsidR="0002506A" w:rsidRPr="0002506A">
        <w:t>,</w:t>
      </w:r>
      <w:r w:rsidRPr="0087467A">
        <w:t xml:space="preserve"> er</w:t>
      </w:r>
      <w:r>
        <w:t xml:space="preserve"> Energinet </w:t>
      </w:r>
      <w:r w:rsidRPr="00C52F25">
        <w:t>velkommen til at rette henvendelse til undertegnede.</w:t>
      </w:r>
    </w:p>
    <w:p w14:paraId="6B7D26A7" w14:textId="77777777" w:rsidR="005463EA" w:rsidRDefault="005463EA" w:rsidP="005463EA"/>
    <w:p w14:paraId="3B40CAE8" w14:textId="77777777" w:rsidR="005463EA" w:rsidRDefault="005463EA" w:rsidP="005463EA">
      <w:r w:rsidRPr="00C65821">
        <w:t>Med venlig hilsen</w:t>
      </w:r>
    </w:p>
    <w:p w14:paraId="3FB4F209" w14:textId="77777777" w:rsidR="005463EA" w:rsidRPr="002C03B5" w:rsidRDefault="005463EA" w:rsidP="005463EA"/>
    <w:p w14:paraId="1BB60F40" w14:textId="77777777" w:rsidR="005463EA" w:rsidRDefault="005463EA" w:rsidP="005463EA">
      <w:pPr>
        <w:jc w:val="both"/>
        <w:rPr>
          <w:bCs/>
          <w:szCs w:val="18"/>
        </w:rPr>
      </w:pPr>
      <w:r w:rsidRPr="00364509">
        <w:rPr>
          <w:bCs/>
          <w:szCs w:val="18"/>
        </w:rPr>
        <w:t>Finn Christensen</w:t>
      </w:r>
    </w:p>
    <w:p w14:paraId="3273C4C5" w14:textId="77777777" w:rsidR="005463EA" w:rsidRPr="00364509" w:rsidRDefault="005463EA" w:rsidP="005463EA">
      <w:pPr>
        <w:jc w:val="both"/>
        <w:rPr>
          <w:bCs/>
          <w:szCs w:val="18"/>
        </w:rPr>
      </w:pPr>
    </w:p>
    <w:p w14:paraId="1E508E17" w14:textId="77777777" w:rsidR="005463EA" w:rsidRPr="00364509" w:rsidRDefault="005463EA" w:rsidP="005463EA">
      <w:pPr>
        <w:jc w:val="both"/>
        <w:rPr>
          <w:szCs w:val="18"/>
        </w:rPr>
      </w:pPr>
      <w:r w:rsidRPr="00364509">
        <w:rPr>
          <w:szCs w:val="18"/>
        </w:rPr>
        <w:t>Klima &amp; Energi</w:t>
      </w:r>
    </w:p>
    <w:p w14:paraId="1367B7A3" w14:textId="77777777" w:rsidR="005463EA" w:rsidRPr="00690892" w:rsidRDefault="005463EA" w:rsidP="005463EA">
      <w:pPr>
        <w:jc w:val="both"/>
        <w:rPr>
          <w:szCs w:val="18"/>
        </w:rPr>
      </w:pPr>
      <w:r w:rsidRPr="00690892">
        <w:rPr>
          <w:szCs w:val="18"/>
        </w:rPr>
        <w:t>M +45 2724 5639</w:t>
      </w:r>
    </w:p>
    <w:p w14:paraId="0CFCB34C" w14:textId="77777777" w:rsidR="005463EA" w:rsidRPr="00690892" w:rsidRDefault="005463EA" w:rsidP="005463EA">
      <w:pPr>
        <w:jc w:val="both"/>
        <w:rPr>
          <w:sz w:val="16"/>
        </w:rPr>
      </w:pPr>
      <w:r w:rsidRPr="00690892">
        <w:rPr>
          <w:szCs w:val="18"/>
        </w:rPr>
        <w:t xml:space="preserve">E </w:t>
      </w:r>
      <w:hyperlink r:id="rId9" w:history="1">
        <w:r w:rsidRPr="00690892">
          <w:t>fch@lf.dk</w:t>
        </w:r>
      </w:hyperlink>
      <w:r w:rsidRPr="00690892">
        <w:rPr>
          <w:sz w:val="16"/>
        </w:rPr>
        <w:t xml:space="preserve"> </w:t>
      </w:r>
    </w:p>
    <w:p w14:paraId="110E4EB7" w14:textId="77777777" w:rsidR="005463EA" w:rsidRDefault="005463EA" w:rsidP="0018390B"/>
    <w:p w14:paraId="1684D75D" w14:textId="77777777" w:rsidR="005029A6" w:rsidRDefault="005029A6" w:rsidP="0018390B"/>
    <w:p w14:paraId="12262034" w14:textId="77777777" w:rsidR="005029A6" w:rsidRDefault="005029A6" w:rsidP="0018390B"/>
    <w:p w14:paraId="732886FA" w14:textId="77777777" w:rsidR="002F40D0" w:rsidRPr="00B66F91" w:rsidRDefault="002F40D0" w:rsidP="00B66F91">
      <w:pPr>
        <w:spacing w:after="200" w:line="276" w:lineRule="auto"/>
      </w:pPr>
    </w:p>
    <w:sectPr w:rsidR="002F40D0" w:rsidRPr="00B66F91" w:rsidSect="001839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2279" w:right="2722" w:bottom="527" w:left="1247" w:header="107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585D6" w14:textId="77777777" w:rsidR="00AC247F" w:rsidRDefault="00AC247F" w:rsidP="006E7AA8">
      <w:pPr>
        <w:spacing w:line="240" w:lineRule="auto"/>
      </w:pPr>
      <w:r>
        <w:separator/>
      </w:r>
    </w:p>
  </w:endnote>
  <w:endnote w:type="continuationSeparator" w:id="0">
    <w:p w14:paraId="05AC64DF" w14:textId="77777777" w:rsidR="00AC247F" w:rsidRDefault="00AC247F" w:rsidP="006E7A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65AA" w14:textId="77777777" w:rsidR="007853C0" w:rsidRDefault="007853C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9D" w14:textId="77777777" w:rsidR="0018390B" w:rsidRDefault="0018390B">
    <w:pPr>
      <w:pStyle w:val="Sidefod"/>
    </w:pPr>
    <w:bookmarkStart w:id="2" w:name="bmkFilename02"/>
    <w:r>
      <w:t xml:space="preserve"> </w: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85C3" w14:textId="77777777" w:rsidR="0018390B" w:rsidRDefault="0018390B">
    <w:pPr>
      <w:pStyle w:val="Sidefod"/>
    </w:pPr>
    <w:bookmarkStart w:id="10" w:name="bmkFilename"/>
    <w:r>
      <w:t xml:space="preserve"> </w:t>
    </w:r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5F613" w14:textId="77777777" w:rsidR="00AC247F" w:rsidRDefault="00AC247F" w:rsidP="006E7AA8">
      <w:pPr>
        <w:spacing w:line="240" w:lineRule="auto"/>
      </w:pPr>
      <w:r>
        <w:separator/>
      </w:r>
    </w:p>
  </w:footnote>
  <w:footnote w:type="continuationSeparator" w:id="0">
    <w:p w14:paraId="51B7421F" w14:textId="77777777" w:rsidR="00AC247F" w:rsidRDefault="00AC247F" w:rsidP="006E7A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0BB7" w14:textId="77777777" w:rsidR="007853C0" w:rsidRDefault="007853C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0E6F" w14:textId="77777777" w:rsidR="0018390B" w:rsidRDefault="0018390B" w:rsidP="005F0AD0">
    <w:pPr>
      <w:pStyle w:val="Template-DatoogRef"/>
      <w:rPr>
        <w:rStyle w:val="Sidetal"/>
      </w:rPr>
    </w:pPr>
    <w:bookmarkStart w:id="0" w:name="SD_LAN_Page_N1"/>
    <w:r>
      <w:t>Side</w:t>
    </w:r>
    <w:bookmarkEnd w:id="0"/>
    <w:r>
      <w:rPr>
        <w:rStyle w:val="Sidetal"/>
      </w:rPr>
      <w:t xml:space="preserve"> </w:t>
    </w: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>
      <w:rPr>
        <w:rStyle w:val="Sidetal"/>
      </w:rPr>
      <w:t>2</w:t>
    </w:r>
    <w:r>
      <w:rPr>
        <w:rStyle w:val="Sidetal"/>
      </w:rPr>
      <w:fldChar w:fldCharType="end"/>
    </w:r>
    <w:r>
      <w:rPr>
        <w:rStyle w:val="Sidetal"/>
      </w:rPr>
      <w:t xml:space="preserve"> </w:t>
    </w:r>
    <w:bookmarkStart w:id="1" w:name="SD_LAN_Of_N1"/>
    <w:r>
      <w:t>af</w:t>
    </w:r>
    <w:bookmarkEnd w:id="1"/>
    <w:r>
      <w:rPr>
        <w:rStyle w:val="Sidetal"/>
      </w:rPr>
      <w:t xml:space="preserve"> </w:t>
    </w:r>
    <w:r>
      <w:rPr>
        <w:rStyle w:val="Sidetal"/>
        <w:noProof w:val="0"/>
      </w:rPr>
      <w:fldChar w:fldCharType="begin"/>
    </w:r>
    <w:r>
      <w:rPr>
        <w:rStyle w:val="Sidetal"/>
        <w:noProof w:val="0"/>
      </w:rPr>
      <w:instrText xml:space="preserve"> NUMPAGES </w:instrText>
    </w:r>
    <w:r>
      <w:rPr>
        <w:rStyle w:val="Sidetal"/>
        <w:noProof w:val="0"/>
      </w:rPr>
      <w:fldChar w:fldCharType="separate"/>
    </w:r>
    <w:r>
      <w:rPr>
        <w:rStyle w:val="Sidetal"/>
      </w:rPr>
      <w:t>1</w:t>
    </w:r>
    <w:r>
      <w:rPr>
        <w:rStyle w:val="Sidetal"/>
        <w:noProof w:val="0"/>
      </w:rPr>
      <w:fldChar w:fldCharType="end"/>
    </w:r>
  </w:p>
  <w:p w14:paraId="5E868413" w14:textId="77777777" w:rsidR="0018390B" w:rsidRPr="0098048A" w:rsidRDefault="0018390B" w:rsidP="005F0AD0">
    <w:pPr>
      <w:pStyle w:val="Template-DatoogRef"/>
    </w:pPr>
    <w:r>
      <w:drawing>
        <wp:anchor distT="0" distB="0" distL="114300" distR="114300" simplePos="0" relativeHeight="251656192" behindDoc="0" locked="0" layoutInCell="1" allowOverlap="1" wp14:anchorId="4B068E68" wp14:editId="5592004D">
          <wp:simplePos x="0" y="0"/>
          <wp:positionH relativeFrom="page">
            <wp:posOffset>5957570</wp:posOffset>
          </wp:positionH>
          <wp:positionV relativeFrom="page">
            <wp:posOffset>647700</wp:posOffset>
          </wp:positionV>
          <wp:extent cx="1259840" cy="1256665"/>
          <wp:effectExtent l="0" t="0" r="0" b="0"/>
          <wp:wrapNone/>
          <wp:docPr id="2" name="LogoHide_HIDE_1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Hide_HIDE_1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1256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E514F" w14:textId="77777777" w:rsidR="0018390B" w:rsidRPr="00C65821" w:rsidRDefault="0018390B" w:rsidP="00B10951">
    <w:pPr>
      <w:pStyle w:val="Template-DatoogRef"/>
      <w:tabs>
        <w:tab w:val="clear" w:pos="454"/>
        <w:tab w:val="left" w:pos="540"/>
      </w:tabs>
      <w:rPr>
        <w:vanish/>
      </w:rPr>
    </w:pPr>
    <w:bookmarkStart w:id="3" w:name="SD_LAN_Ref"/>
    <w:bookmarkStart w:id="4" w:name="HIF_SD_FLD_Ref"/>
    <w:r w:rsidRPr="00C65821">
      <w:rPr>
        <w:vanish/>
      </w:rPr>
      <w:t>Ref</w:t>
    </w:r>
    <w:bookmarkEnd w:id="3"/>
    <w:r w:rsidRPr="00C65821">
      <w:rPr>
        <w:vanish/>
      </w:rPr>
      <w:tab/>
    </w:r>
    <w:bookmarkStart w:id="5" w:name="SD_FLD_Ref"/>
    <w:bookmarkEnd w:id="5"/>
  </w:p>
  <w:p w14:paraId="5192234F" w14:textId="7E981C86" w:rsidR="0018390B" w:rsidRPr="00C65821" w:rsidRDefault="0018390B" w:rsidP="00B10951">
    <w:pPr>
      <w:pStyle w:val="Template-DatoogRef"/>
      <w:tabs>
        <w:tab w:val="clear" w:pos="454"/>
        <w:tab w:val="left" w:pos="540"/>
      </w:tabs>
    </w:pPr>
    <w:bookmarkStart w:id="6" w:name="SD_LAN_Date"/>
    <w:bookmarkStart w:id="7" w:name="HIF_SD_FLD_DocumentDate"/>
    <w:bookmarkEnd w:id="4"/>
    <w:r w:rsidRPr="00C65821">
      <w:t>Dato</w:t>
    </w:r>
    <w:bookmarkEnd w:id="6"/>
    <w:r w:rsidRPr="00C65821">
      <w:tab/>
    </w:r>
    <w:r w:rsidR="00C54F52">
      <w:t>13</w:t>
    </w:r>
    <w:r>
      <w:t xml:space="preserve">. </w:t>
    </w:r>
    <w:r w:rsidR="006E7AA8">
      <w:t>oktober</w:t>
    </w:r>
    <w:r>
      <w:t xml:space="preserve"> 202</w:t>
    </w:r>
    <w:r w:rsidR="00C54F52">
      <w:t>6</w:t>
    </w:r>
  </w:p>
  <w:p w14:paraId="6E615ED8" w14:textId="77777777" w:rsidR="0018390B" w:rsidRDefault="0018390B" w:rsidP="00B10951">
    <w:pPr>
      <w:pStyle w:val="Template-DatoogRef"/>
      <w:tabs>
        <w:tab w:val="clear" w:pos="454"/>
        <w:tab w:val="left" w:pos="540"/>
      </w:tabs>
      <w:rPr>
        <w:rStyle w:val="Sidetal"/>
      </w:rPr>
    </w:pPr>
    <w:bookmarkStart w:id="8" w:name="SD_LAN_Page"/>
    <w:bookmarkEnd w:id="7"/>
    <w:r>
      <w:t>Side</w:t>
    </w:r>
    <w:bookmarkEnd w:id="8"/>
    <w:r>
      <w:tab/>
    </w: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>
      <w:rPr>
        <w:rStyle w:val="Sidetal"/>
      </w:rPr>
      <w:t>1</w:t>
    </w:r>
    <w:r>
      <w:rPr>
        <w:rStyle w:val="Sidetal"/>
      </w:rPr>
      <w:fldChar w:fldCharType="end"/>
    </w:r>
    <w:r>
      <w:rPr>
        <w:rStyle w:val="Sidetal"/>
      </w:rPr>
      <w:t xml:space="preserve"> </w:t>
    </w:r>
    <w:bookmarkStart w:id="9" w:name="SD_LAN_Of"/>
    <w:r>
      <w:rPr>
        <w:rStyle w:val="Sidetal"/>
      </w:rPr>
      <w:t>af</w:t>
    </w:r>
    <w:bookmarkEnd w:id="9"/>
    <w:r>
      <w:rPr>
        <w:rStyle w:val="Sidetal"/>
      </w:rPr>
      <w:t xml:space="preserve"> </w:t>
    </w:r>
    <w:r>
      <w:rPr>
        <w:rStyle w:val="Sidetal"/>
        <w:noProof w:val="0"/>
      </w:rPr>
      <w:fldChar w:fldCharType="begin"/>
    </w:r>
    <w:r>
      <w:rPr>
        <w:rStyle w:val="Sidetal"/>
        <w:noProof w:val="0"/>
      </w:rPr>
      <w:instrText xml:space="preserve"> NUMPAGES </w:instrText>
    </w:r>
    <w:r>
      <w:rPr>
        <w:rStyle w:val="Sidetal"/>
        <w:noProof w:val="0"/>
      </w:rPr>
      <w:fldChar w:fldCharType="separate"/>
    </w:r>
    <w:r>
      <w:rPr>
        <w:rStyle w:val="Sidetal"/>
      </w:rPr>
      <w:t>1</w:t>
    </w:r>
    <w:r>
      <w:rPr>
        <w:rStyle w:val="Sidetal"/>
        <w:noProof w:val="0"/>
      </w:rPr>
      <w:fldChar w:fldCharType="end"/>
    </w:r>
  </w:p>
  <w:p w14:paraId="288079CF" w14:textId="77777777" w:rsidR="0018390B" w:rsidRDefault="0018390B" w:rsidP="00B46C1D">
    <w:pPr>
      <w:pStyle w:val="Template-DatoogRef"/>
    </w:pPr>
    <w:r>
      <w:drawing>
        <wp:anchor distT="0" distB="0" distL="114300" distR="114300" simplePos="0" relativeHeight="251657216" behindDoc="0" locked="0" layoutInCell="1" allowOverlap="1" wp14:anchorId="67277984" wp14:editId="706D9956">
          <wp:simplePos x="0" y="0"/>
          <wp:positionH relativeFrom="page">
            <wp:posOffset>6015355</wp:posOffset>
          </wp:positionH>
          <wp:positionV relativeFrom="page">
            <wp:posOffset>8959850</wp:posOffset>
          </wp:positionV>
          <wp:extent cx="1439545" cy="1688465"/>
          <wp:effectExtent l="0" t="0" r="8255" b="6985"/>
          <wp:wrapNone/>
          <wp:docPr id="4" name="Pligttekst_1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igttekst_1_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1688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8240" behindDoc="0" locked="0" layoutInCell="1" allowOverlap="1" wp14:anchorId="37A07706" wp14:editId="2202E18C">
          <wp:simplePos x="0" y="0"/>
          <wp:positionH relativeFrom="page">
            <wp:posOffset>6022340</wp:posOffset>
          </wp:positionH>
          <wp:positionV relativeFrom="page">
            <wp:posOffset>1511935</wp:posOffset>
          </wp:positionV>
          <wp:extent cx="1297940" cy="2200275"/>
          <wp:effectExtent l="0" t="0" r="0" b="0"/>
          <wp:wrapNone/>
          <wp:docPr id="3" name="AddressHide_HIDE_1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ddressHide_HIDE_1_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940" cy="2200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0" locked="0" layoutInCell="1" allowOverlap="1" wp14:anchorId="63936C75" wp14:editId="29B4B1FA">
          <wp:simplePos x="0" y="0"/>
          <wp:positionH relativeFrom="page">
            <wp:posOffset>5957570</wp:posOffset>
          </wp:positionH>
          <wp:positionV relativeFrom="page">
            <wp:posOffset>647700</wp:posOffset>
          </wp:positionV>
          <wp:extent cx="1259840" cy="1256665"/>
          <wp:effectExtent l="0" t="0" r="0" b="0"/>
          <wp:wrapNone/>
          <wp:docPr id="1" name="LogoHide_HIDE_1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Hide_HIDE_1_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1256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E29"/>
    <w:multiLevelType w:val="hybridMultilevel"/>
    <w:tmpl w:val="362C8798"/>
    <w:lvl w:ilvl="0" w:tplc="8592CCF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53E2D"/>
    <w:multiLevelType w:val="multilevel"/>
    <w:tmpl w:val="FCBE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878F5"/>
    <w:multiLevelType w:val="hybridMultilevel"/>
    <w:tmpl w:val="2F0C5720"/>
    <w:lvl w:ilvl="0" w:tplc="CD16432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04BAC"/>
    <w:multiLevelType w:val="multilevel"/>
    <w:tmpl w:val="9A9E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1C3F81"/>
    <w:multiLevelType w:val="multilevel"/>
    <w:tmpl w:val="E01C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D32B67"/>
    <w:multiLevelType w:val="multilevel"/>
    <w:tmpl w:val="B6BA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3C3EF0"/>
    <w:multiLevelType w:val="multilevel"/>
    <w:tmpl w:val="8306F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0112330">
    <w:abstractNumId w:val="4"/>
  </w:num>
  <w:num w:numId="2" w16cid:durableId="2083139451">
    <w:abstractNumId w:val="0"/>
  </w:num>
  <w:num w:numId="3" w16cid:durableId="1616400789">
    <w:abstractNumId w:val="3"/>
  </w:num>
  <w:num w:numId="4" w16cid:durableId="1608583770">
    <w:abstractNumId w:val="6"/>
  </w:num>
  <w:num w:numId="5" w16cid:durableId="1631934238">
    <w:abstractNumId w:val="2"/>
  </w:num>
  <w:num w:numId="6" w16cid:durableId="279149466">
    <w:abstractNumId w:val="1"/>
  </w:num>
  <w:num w:numId="7" w16cid:durableId="87195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0B"/>
    <w:rsid w:val="0002506A"/>
    <w:rsid w:val="0018390B"/>
    <w:rsid w:val="00205478"/>
    <w:rsid w:val="002732C1"/>
    <w:rsid w:val="00296A81"/>
    <w:rsid w:val="00296F51"/>
    <w:rsid w:val="002F40D0"/>
    <w:rsid w:val="002F6BE1"/>
    <w:rsid w:val="00393467"/>
    <w:rsid w:val="003D4959"/>
    <w:rsid w:val="00444A46"/>
    <w:rsid w:val="00470A03"/>
    <w:rsid w:val="004E3255"/>
    <w:rsid w:val="005029A6"/>
    <w:rsid w:val="00530DAC"/>
    <w:rsid w:val="005463EA"/>
    <w:rsid w:val="005702F3"/>
    <w:rsid w:val="00571197"/>
    <w:rsid w:val="00597E95"/>
    <w:rsid w:val="005C6385"/>
    <w:rsid w:val="0062627C"/>
    <w:rsid w:val="00655841"/>
    <w:rsid w:val="00692DE7"/>
    <w:rsid w:val="006B2672"/>
    <w:rsid w:val="006B31A2"/>
    <w:rsid w:val="006C2A7C"/>
    <w:rsid w:val="006E7AA8"/>
    <w:rsid w:val="00706103"/>
    <w:rsid w:val="00746C3D"/>
    <w:rsid w:val="00784316"/>
    <w:rsid w:val="007853C0"/>
    <w:rsid w:val="007A5204"/>
    <w:rsid w:val="00806D98"/>
    <w:rsid w:val="00823AA1"/>
    <w:rsid w:val="00846CD4"/>
    <w:rsid w:val="00882689"/>
    <w:rsid w:val="00896523"/>
    <w:rsid w:val="00937E6D"/>
    <w:rsid w:val="00965B19"/>
    <w:rsid w:val="009B10DB"/>
    <w:rsid w:val="009C1F39"/>
    <w:rsid w:val="00AC247F"/>
    <w:rsid w:val="00AF4220"/>
    <w:rsid w:val="00B13DB1"/>
    <w:rsid w:val="00B66F91"/>
    <w:rsid w:val="00B7785B"/>
    <w:rsid w:val="00B87795"/>
    <w:rsid w:val="00BF1CA6"/>
    <w:rsid w:val="00C1658A"/>
    <w:rsid w:val="00C300FF"/>
    <w:rsid w:val="00C54F52"/>
    <w:rsid w:val="00C55C6C"/>
    <w:rsid w:val="00CA7863"/>
    <w:rsid w:val="00D0514B"/>
    <w:rsid w:val="00D07992"/>
    <w:rsid w:val="00D323D1"/>
    <w:rsid w:val="00DB15FE"/>
    <w:rsid w:val="00DB5DE4"/>
    <w:rsid w:val="00DC08AE"/>
    <w:rsid w:val="00DF4F79"/>
    <w:rsid w:val="00E12287"/>
    <w:rsid w:val="00E4602B"/>
    <w:rsid w:val="00EF0326"/>
    <w:rsid w:val="00F03329"/>
    <w:rsid w:val="00F324E0"/>
    <w:rsid w:val="00F432BE"/>
    <w:rsid w:val="00F66024"/>
    <w:rsid w:val="00FC4D0B"/>
    <w:rsid w:val="00FE267C"/>
    <w:rsid w:val="00FE2785"/>
    <w:rsid w:val="00FF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0D31"/>
  <w15:chartTrackingRefBased/>
  <w15:docId w15:val="{635596C0-C0F6-4F8C-9451-42B3C716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90B"/>
    <w:pPr>
      <w:spacing w:after="0" w:line="280" w:lineRule="atLeast"/>
    </w:pPr>
    <w:rPr>
      <w:rFonts w:ascii="Arial" w:eastAsia="Times New Roman" w:hAnsi="Arial" w:cs="Times New Roman"/>
      <w:kern w:val="0"/>
      <w:sz w:val="18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839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A5F69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839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A5F69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8390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A5F69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8390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A5F69" w:themeColor="accent1" w:themeShade="BF"/>
      <w:kern w:val="2"/>
      <w:sz w:val="22"/>
      <w:szCs w:val="2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8390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A5F69" w:themeColor="accent1" w:themeShade="BF"/>
      <w:kern w:val="2"/>
      <w:sz w:val="22"/>
      <w:szCs w:val="2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8390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696969" w:themeColor="text1" w:themeTint="A6"/>
      <w:kern w:val="2"/>
      <w:sz w:val="22"/>
      <w:szCs w:val="2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8390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696969" w:themeColor="text1" w:themeTint="A6"/>
      <w:kern w:val="2"/>
      <w:sz w:val="22"/>
      <w:szCs w:val="2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8390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3C3C3C" w:themeColor="text1" w:themeTint="D8"/>
      <w:kern w:val="2"/>
      <w:sz w:val="22"/>
      <w:szCs w:val="2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8390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3C3C3C" w:themeColor="text1" w:themeTint="D8"/>
      <w:kern w:val="2"/>
      <w:sz w:val="22"/>
      <w:szCs w:val="2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8390B"/>
    <w:rPr>
      <w:rFonts w:asciiTheme="majorHAnsi" w:eastAsiaTheme="majorEastAsia" w:hAnsiTheme="majorHAnsi" w:cstheme="majorBidi"/>
      <w:color w:val="3A5F69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8390B"/>
    <w:rPr>
      <w:rFonts w:asciiTheme="majorHAnsi" w:eastAsiaTheme="majorEastAsia" w:hAnsiTheme="majorHAnsi" w:cstheme="majorBidi"/>
      <w:color w:val="3A5F69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8390B"/>
    <w:rPr>
      <w:rFonts w:eastAsiaTheme="majorEastAsia" w:cstheme="majorBidi"/>
      <w:color w:val="3A5F69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8390B"/>
    <w:rPr>
      <w:rFonts w:eastAsiaTheme="majorEastAsia" w:cstheme="majorBidi"/>
      <w:i/>
      <w:iCs/>
      <w:color w:val="3A5F69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8390B"/>
    <w:rPr>
      <w:rFonts w:eastAsiaTheme="majorEastAsia" w:cstheme="majorBidi"/>
      <w:color w:val="3A5F69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8390B"/>
    <w:rPr>
      <w:rFonts w:eastAsiaTheme="majorEastAsia" w:cstheme="majorBidi"/>
      <w:i/>
      <w:iCs/>
      <w:color w:val="69696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8390B"/>
    <w:rPr>
      <w:rFonts w:eastAsiaTheme="majorEastAsia" w:cstheme="majorBidi"/>
      <w:color w:val="69696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8390B"/>
    <w:rPr>
      <w:rFonts w:eastAsiaTheme="majorEastAsia" w:cstheme="majorBidi"/>
      <w:i/>
      <w:iCs/>
      <w:color w:val="3C3C3C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8390B"/>
    <w:rPr>
      <w:rFonts w:eastAsiaTheme="majorEastAsia" w:cstheme="majorBidi"/>
      <w:color w:val="3C3C3C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83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183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8390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69696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8390B"/>
    <w:rPr>
      <w:rFonts w:eastAsiaTheme="majorEastAsia" w:cstheme="majorBidi"/>
      <w:color w:val="69696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8390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525252" w:themeColor="text1" w:themeTint="BF"/>
      <w:kern w:val="2"/>
      <w:sz w:val="22"/>
      <w:szCs w:val="2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18390B"/>
    <w:rPr>
      <w:i/>
      <w:iCs/>
      <w:color w:val="525252" w:themeColor="text1" w:themeTint="BF"/>
    </w:rPr>
  </w:style>
  <w:style w:type="paragraph" w:styleId="Listeafsnit">
    <w:name w:val="List Paragraph"/>
    <w:basedOn w:val="Normal"/>
    <w:uiPriority w:val="34"/>
    <w:qFormat/>
    <w:rsid w:val="001839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18390B"/>
    <w:rPr>
      <w:i/>
      <w:iCs/>
      <w:color w:val="3A5F69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8390B"/>
    <w:pPr>
      <w:pBdr>
        <w:top w:val="single" w:sz="4" w:space="10" w:color="3A5F69" w:themeColor="accent1" w:themeShade="BF"/>
        <w:bottom w:val="single" w:sz="4" w:space="10" w:color="3A5F69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A5F69" w:themeColor="accent1" w:themeShade="BF"/>
      <w:kern w:val="2"/>
      <w:sz w:val="22"/>
      <w:szCs w:val="2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8390B"/>
    <w:rPr>
      <w:i/>
      <w:iCs/>
      <w:color w:val="3A5F69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8390B"/>
    <w:rPr>
      <w:b/>
      <w:bCs/>
      <w:smallCaps/>
      <w:color w:val="3A5F69" w:themeColor="accent1" w:themeShade="BF"/>
      <w:spacing w:val="5"/>
    </w:rPr>
  </w:style>
  <w:style w:type="paragraph" w:styleId="Sidefod">
    <w:name w:val="footer"/>
    <w:basedOn w:val="Normal"/>
    <w:link w:val="SidefodTegn"/>
    <w:uiPriority w:val="9"/>
    <w:semiHidden/>
    <w:rsid w:val="0018390B"/>
    <w:pPr>
      <w:tabs>
        <w:tab w:val="center" w:pos="4819"/>
        <w:tab w:val="right" w:pos="9638"/>
      </w:tabs>
      <w:spacing w:line="180" w:lineRule="atLeast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"/>
    <w:semiHidden/>
    <w:rsid w:val="0018390B"/>
    <w:rPr>
      <w:rFonts w:ascii="Arial" w:eastAsia="Times New Roman" w:hAnsi="Arial" w:cs="Times New Roman"/>
      <w:kern w:val="0"/>
      <w:sz w:val="14"/>
      <w:szCs w:val="24"/>
      <w14:ligatures w14:val="none"/>
    </w:rPr>
  </w:style>
  <w:style w:type="character" w:styleId="Hyperlink">
    <w:name w:val="Hyperlink"/>
    <w:uiPriority w:val="9"/>
    <w:semiHidden/>
    <w:rsid w:val="0018390B"/>
    <w:rPr>
      <w:color w:val="0000FF"/>
      <w:u w:val="single"/>
    </w:rPr>
  </w:style>
  <w:style w:type="character" w:styleId="Sidetal">
    <w:name w:val="page number"/>
    <w:uiPriority w:val="8"/>
    <w:semiHidden/>
    <w:rsid w:val="0018390B"/>
    <w:rPr>
      <w:rFonts w:ascii="Arial" w:hAnsi="Arial"/>
      <w:sz w:val="15"/>
    </w:rPr>
  </w:style>
  <w:style w:type="paragraph" w:customStyle="1" w:styleId="Template-DatoogRef">
    <w:name w:val="Template - Dato og Ref"/>
    <w:basedOn w:val="Normal"/>
    <w:uiPriority w:val="8"/>
    <w:semiHidden/>
    <w:rsid w:val="0018390B"/>
    <w:pPr>
      <w:tabs>
        <w:tab w:val="left" w:pos="181"/>
        <w:tab w:val="left" w:pos="454"/>
      </w:tabs>
      <w:spacing w:line="200" w:lineRule="atLeast"/>
    </w:pPr>
    <w:rPr>
      <w:noProof/>
      <w:sz w:val="15"/>
    </w:rPr>
  </w:style>
  <w:style w:type="paragraph" w:styleId="Sidehoved">
    <w:name w:val="header"/>
    <w:basedOn w:val="Normal"/>
    <w:link w:val="SidehovedTegn"/>
    <w:uiPriority w:val="99"/>
    <w:unhideWhenUsed/>
    <w:rsid w:val="006E7AA8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E7AA8"/>
    <w:rPr>
      <w:rFonts w:ascii="Arial" w:eastAsia="Times New Roman" w:hAnsi="Arial" w:cs="Times New Roman"/>
      <w:kern w:val="0"/>
      <w:sz w:val="18"/>
      <w:szCs w:val="24"/>
      <w14:ligatures w14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706103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7853C0"/>
    <w:pPr>
      <w:spacing w:after="0" w:line="240" w:lineRule="auto"/>
    </w:pPr>
    <w:rPr>
      <w:rFonts w:ascii="Arial" w:eastAsia="Times New Roman" w:hAnsi="Arial" w:cs="Times New Roman"/>
      <w:kern w:val="0"/>
      <w:sz w:val="18"/>
      <w:szCs w:val="24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F422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F422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F4220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F422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F4220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ndighed@energinet.d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bdi@energinet.d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ch@lf.d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ma">
  <a:themeElements>
    <a:clrScheme name="LF_standard_1">
      <a:dk1>
        <a:srgbClr val="191919"/>
      </a:dk1>
      <a:lt1>
        <a:sysClr val="window" lastClr="FFFFFF"/>
      </a:lt1>
      <a:dk2>
        <a:srgbClr val="191919"/>
      </a:dk2>
      <a:lt2>
        <a:srgbClr val="FDFDFD"/>
      </a:lt2>
      <a:accent1>
        <a:srgbClr val="4E808D"/>
      </a:accent1>
      <a:accent2>
        <a:srgbClr val="7DA3AD"/>
      </a:accent2>
      <a:accent3>
        <a:srgbClr val="9DDCF9"/>
      </a:accent3>
      <a:accent4>
        <a:srgbClr val="4F734A"/>
      </a:accent4>
      <a:accent5>
        <a:srgbClr val="7C9877"/>
      </a:accent5>
      <a:accent6>
        <a:srgbClr val="B4C5B0"/>
      </a:accent6>
      <a:hlink>
        <a:srgbClr val="0000FF"/>
      </a:hlink>
      <a:folHlink>
        <a:srgbClr val="800080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1100</Words>
  <Characters>6925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Christensen</dc:creator>
  <cp:keywords/>
  <dc:description/>
  <cp:lastModifiedBy>Finn Christensen</cp:lastModifiedBy>
  <cp:revision>25</cp:revision>
  <dcterms:created xsi:type="dcterms:W3CDTF">2025-10-02T12:26:00Z</dcterms:created>
  <dcterms:modified xsi:type="dcterms:W3CDTF">2026-10-12T09:21:00Z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