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</w:tblGrid>
      <w:tr w:rsidR="0018390B" w:rsidRPr="00C65821" w14:paraId="1CB40D62" w14:textId="77777777" w:rsidTr="00A130FA">
        <w:trPr>
          <w:trHeight w:val="2410"/>
        </w:trPr>
        <w:tc>
          <w:tcPr>
            <w:tcW w:w="7088" w:type="dxa"/>
          </w:tcPr>
          <w:p w14:paraId="18F0EA99" w14:textId="6AAE36A9" w:rsidR="0018390B" w:rsidRPr="007870F5" w:rsidRDefault="0018390B" w:rsidP="00BB30A8">
            <w:pPr>
              <w:jc w:val="both"/>
            </w:pPr>
            <w:r w:rsidRPr="007870F5">
              <w:t>Ener</w:t>
            </w:r>
            <w:r w:rsidR="00B96433">
              <w:t>gistyrelsen</w:t>
            </w:r>
          </w:p>
          <w:p w14:paraId="2996BF7D" w14:textId="77777777" w:rsidR="00E55526" w:rsidRDefault="00E55526" w:rsidP="00BB30A8">
            <w:pPr>
              <w:jc w:val="both"/>
            </w:pPr>
            <w:r>
              <w:t>Carsten Niebuhrs Gade 43</w:t>
            </w:r>
          </w:p>
          <w:p w14:paraId="7F7DAA3C" w14:textId="45F30EDE" w:rsidR="0018390B" w:rsidRDefault="00E55526" w:rsidP="00BB30A8">
            <w:pPr>
              <w:jc w:val="both"/>
            </w:pPr>
            <w:r>
              <w:t>København V</w:t>
            </w:r>
          </w:p>
          <w:p w14:paraId="12F8C120" w14:textId="77777777" w:rsidR="0018390B" w:rsidRPr="007870F5" w:rsidRDefault="0018390B" w:rsidP="00BB30A8">
            <w:pPr>
              <w:jc w:val="both"/>
            </w:pPr>
          </w:p>
          <w:p w14:paraId="6C15AFE1" w14:textId="77777777" w:rsidR="0018390B" w:rsidRPr="007870F5" w:rsidRDefault="0018390B" w:rsidP="00BB30A8">
            <w:pPr>
              <w:jc w:val="both"/>
            </w:pPr>
          </w:p>
          <w:p w14:paraId="170940FA" w14:textId="77777777" w:rsidR="0018390B" w:rsidRDefault="0018390B" w:rsidP="00BB30A8">
            <w:pPr>
              <w:jc w:val="both"/>
            </w:pPr>
          </w:p>
          <w:p w14:paraId="590E8292" w14:textId="50F3118A" w:rsidR="0018390B" w:rsidRPr="00C65821" w:rsidRDefault="0018390B" w:rsidP="00BB30A8">
            <w:pPr>
              <w:jc w:val="both"/>
            </w:pPr>
            <w:r>
              <w:t xml:space="preserve">Høringssvaret sendt elektronisk til </w:t>
            </w:r>
            <w:hyperlink r:id="rId11" w:history="1">
              <w:r w:rsidR="005A646A" w:rsidRPr="00793DCC">
                <w:rPr>
                  <w:rStyle w:val="Hyperlink"/>
                </w:rPr>
                <w:t>chrh@ens.dk</w:t>
              </w:r>
            </w:hyperlink>
            <w:r>
              <w:t xml:space="preserve"> og </w:t>
            </w:r>
            <w:hyperlink r:id="rId12" w:history="1">
              <w:r w:rsidR="009279D6" w:rsidRPr="00793DCC">
                <w:rPr>
                  <w:rStyle w:val="Hyperlink"/>
                </w:rPr>
                <w:t>nhhb@ens.dk</w:t>
              </w:r>
            </w:hyperlink>
            <w:r>
              <w:t xml:space="preserve"> </w:t>
            </w:r>
            <w:r w:rsidR="003D4385">
              <w:t>/ j. nr. 202</w:t>
            </w:r>
            <w:r w:rsidR="00075281">
              <w:t>4</w:t>
            </w:r>
            <w:r w:rsidR="003D4385">
              <w:t>-</w:t>
            </w:r>
            <w:r w:rsidR="00075281">
              <w:t>14817</w:t>
            </w:r>
          </w:p>
        </w:tc>
      </w:tr>
    </w:tbl>
    <w:p w14:paraId="4272231F" w14:textId="77777777" w:rsidR="0018390B" w:rsidRDefault="0018390B" w:rsidP="00BB30A8">
      <w:pPr>
        <w:tabs>
          <w:tab w:val="left" w:pos="2430"/>
        </w:tabs>
        <w:jc w:val="both"/>
        <w:outlineLvl w:val="0"/>
        <w:rPr>
          <w:b/>
          <w:bCs/>
          <w:lang w:eastAsia="da-DK"/>
        </w:rPr>
      </w:pPr>
      <w:r>
        <w:rPr>
          <w:b/>
          <w:bCs/>
          <w:lang w:eastAsia="da-DK"/>
        </w:rPr>
        <w:tab/>
      </w:r>
    </w:p>
    <w:p w14:paraId="30D92CD6" w14:textId="77777777" w:rsidR="002C2507" w:rsidRPr="002C2507" w:rsidRDefault="0018390B" w:rsidP="002C2507">
      <w:pPr>
        <w:jc w:val="both"/>
        <w:rPr>
          <w:b/>
          <w:bCs/>
          <w:lang w:eastAsia="da-DK"/>
        </w:rPr>
      </w:pPr>
      <w:r w:rsidRPr="004340FB">
        <w:rPr>
          <w:b/>
          <w:bCs/>
          <w:lang w:eastAsia="da-DK"/>
        </w:rPr>
        <w:t>Høringssvar</w:t>
      </w:r>
      <w:r w:rsidR="00A14563">
        <w:rPr>
          <w:b/>
          <w:bCs/>
          <w:lang w:eastAsia="da-DK"/>
        </w:rPr>
        <w:t xml:space="preserve"> </w:t>
      </w:r>
      <w:r w:rsidR="002C2507" w:rsidRPr="002C2507">
        <w:rPr>
          <w:b/>
          <w:bCs/>
          <w:lang w:eastAsia="da-DK"/>
        </w:rPr>
        <w:t>over forslag til Lov om ændring af lov om fremme af energibesparelser i</w:t>
      </w:r>
    </w:p>
    <w:p w14:paraId="5C7EF998" w14:textId="77777777" w:rsidR="002C2507" w:rsidRDefault="002C2507" w:rsidP="002C2507">
      <w:pPr>
        <w:jc w:val="both"/>
        <w:rPr>
          <w:b/>
          <w:bCs/>
          <w:lang w:eastAsia="da-DK"/>
        </w:rPr>
      </w:pPr>
      <w:r w:rsidRPr="002C2507">
        <w:rPr>
          <w:b/>
          <w:bCs/>
          <w:lang w:eastAsia="da-DK"/>
        </w:rPr>
        <w:t>bygninger og forskellige andre love</w:t>
      </w:r>
    </w:p>
    <w:p w14:paraId="16257D23" w14:textId="0E3A128A" w:rsidR="00BB30A8" w:rsidRDefault="00BB30A8" w:rsidP="002C2507">
      <w:pPr>
        <w:jc w:val="both"/>
        <w:rPr>
          <w:b/>
          <w:bCs/>
          <w:lang w:eastAsia="da-DK"/>
        </w:rPr>
      </w:pPr>
    </w:p>
    <w:p w14:paraId="14EE3E4D" w14:textId="19ED32EA" w:rsidR="0018390B" w:rsidRDefault="0018390B" w:rsidP="00BB30A8">
      <w:pPr>
        <w:jc w:val="both"/>
      </w:pPr>
      <w:r w:rsidRPr="00A14563">
        <w:rPr>
          <w:rFonts w:cs="Arial"/>
          <w:szCs w:val="18"/>
        </w:rPr>
        <w:t xml:space="preserve">Landbrug &amp; Fødevarer har </w:t>
      </w:r>
      <w:r w:rsidR="00E83358">
        <w:t xml:space="preserve">den </w:t>
      </w:r>
      <w:r w:rsidR="00075281">
        <w:t>8</w:t>
      </w:r>
      <w:r w:rsidR="00E83358">
        <w:t xml:space="preserve">. </w:t>
      </w:r>
      <w:r w:rsidR="00075281">
        <w:t>december</w:t>
      </w:r>
      <w:r w:rsidR="00F815AD">
        <w:t xml:space="preserve"> </w:t>
      </w:r>
      <w:r w:rsidR="00E83358">
        <w:t xml:space="preserve">2025 </w:t>
      </w:r>
      <w:r w:rsidRPr="00A14563">
        <w:rPr>
          <w:rFonts w:cs="Arial"/>
          <w:szCs w:val="18"/>
        </w:rPr>
        <w:t xml:space="preserve">modtaget </w:t>
      </w:r>
      <w:r w:rsidR="002C2507">
        <w:t>Klima-, Energi- og Forsyningsministeriet</w:t>
      </w:r>
      <w:r w:rsidR="00B96433" w:rsidRPr="00A14563">
        <w:rPr>
          <w:rFonts w:cs="Arial"/>
          <w:szCs w:val="18"/>
        </w:rPr>
        <w:t xml:space="preserve">s </w:t>
      </w:r>
      <w:r w:rsidRPr="00A14563">
        <w:rPr>
          <w:rFonts w:cs="Arial"/>
          <w:szCs w:val="18"/>
        </w:rPr>
        <w:t xml:space="preserve">høringsmateriale </w:t>
      </w:r>
      <w:r w:rsidR="002C2507">
        <w:rPr>
          <w:rFonts w:cs="Arial"/>
          <w:szCs w:val="18"/>
        </w:rPr>
        <w:t>vedr. energibesparelser i bygninger m</w:t>
      </w:r>
      <w:r w:rsidR="00CE30A2">
        <w:rPr>
          <w:rFonts w:cs="Arial"/>
          <w:szCs w:val="18"/>
        </w:rPr>
        <w:t>v</w:t>
      </w:r>
      <w:r w:rsidR="002C2507">
        <w:rPr>
          <w:rFonts w:cs="Arial"/>
          <w:szCs w:val="18"/>
        </w:rPr>
        <w:t xml:space="preserve">. </w:t>
      </w:r>
      <w:r w:rsidR="00E83358">
        <w:t xml:space="preserve">og takker for at </w:t>
      </w:r>
      <w:r w:rsidR="00E01866">
        <w:t xml:space="preserve">kunne </w:t>
      </w:r>
      <w:r w:rsidR="00E83358">
        <w:t>give et høringssvar her</w:t>
      </w:r>
      <w:r w:rsidR="00F815AD">
        <w:t>til</w:t>
      </w:r>
      <w:r w:rsidR="00E83358">
        <w:t xml:space="preserve">. </w:t>
      </w:r>
    </w:p>
    <w:p w14:paraId="02D591EF" w14:textId="77777777" w:rsidR="002C2507" w:rsidRDefault="002C2507" w:rsidP="00BB30A8">
      <w:pPr>
        <w:jc w:val="both"/>
        <w:rPr>
          <w:b/>
          <w:bCs/>
        </w:rPr>
      </w:pPr>
    </w:p>
    <w:p w14:paraId="59667491" w14:textId="7AD2D0F9" w:rsidR="00AD5EEB" w:rsidRPr="00AD5EEB" w:rsidRDefault="00AD5EEB" w:rsidP="00BB30A8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Resumé</w:t>
      </w:r>
    </w:p>
    <w:p w14:paraId="40FF3405" w14:textId="53E7BF83" w:rsidR="00AD5EEB" w:rsidRDefault="00AD5EEB" w:rsidP="00AD5EEB">
      <w:pPr>
        <w:jc w:val="both"/>
        <w:rPr>
          <w:i/>
          <w:iCs/>
        </w:rPr>
      </w:pPr>
      <w:r w:rsidRPr="00AD5EEB">
        <w:rPr>
          <w:i/>
          <w:iCs/>
        </w:rPr>
        <w:t xml:space="preserve">Lovforslaget om energibesparelser i bygninger er efter Landbrug &amp; Fødevarers vurdering ikke målrettet landbrugets </w:t>
      </w:r>
      <w:r>
        <w:rPr>
          <w:i/>
          <w:iCs/>
        </w:rPr>
        <w:t xml:space="preserve">ofte integrerede </w:t>
      </w:r>
      <w:r w:rsidRPr="00AD5EEB">
        <w:rPr>
          <w:i/>
          <w:iCs/>
        </w:rPr>
        <w:t>produktionsbygninger, hvor energiforbruget hovedsageligt er procesenergi. MEPS</w:t>
      </w:r>
      <w:r w:rsidRPr="00AD5EEB">
        <w:rPr>
          <w:i/>
          <w:iCs/>
        </w:rPr>
        <w:noBreakHyphen/>
        <w:t xml:space="preserve">kravet bør undtage de fleste landbrugsbygninger. Der advares mod krav, der kan forringe dyrevelfærd, </w:t>
      </w:r>
      <w:r w:rsidR="009D291F">
        <w:rPr>
          <w:i/>
          <w:iCs/>
        </w:rPr>
        <w:t xml:space="preserve">fødevaresikkerhed, </w:t>
      </w:r>
      <w:r w:rsidRPr="00AD5EEB">
        <w:rPr>
          <w:i/>
          <w:iCs/>
        </w:rPr>
        <w:t>begrænse produktionen eller medføre uforholdsmæssige omkostninger.</w:t>
      </w:r>
    </w:p>
    <w:p w14:paraId="35D38C08" w14:textId="77777777" w:rsidR="00EF4577" w:rsidRDefault="00EF4577" w:rsidP="00AD5EEB">
      <w:pPr>
        <w:jc w:val="both"/>
        <w:rPr>
          <w:i/>
          <w:iCs/>
        </w:rPr>
      </w:pPr>
    </w:p>
    <w:p w14:paraId="28A95CCE" w14:textId="201298F3" w:rsidR="00EF4577" w:rsidRPr="002F56E5" w:rsidRDefault="00EF4577" w:rsidP="00BB30A8">
      <w:pPr>
        <w:jc w:val="both"/>
        <w:rPr>
          <w:b/>
          <w:bCs/>
        </w:rPr>
      </w:pPr>
      <w:r w:rsidRPr="002F56E5">
        <w:rPr>
          <w:b/>
          <w:bCs/>
        </w:rPr>
        <w:t>Baggrund</w:t>
      </w:r>
    </w:p>
    <w:p w14:paraId="4E159D84" w14:textId="7E58E1C8" w:rsidR="000C49ED" w:rsidRDefault="003C4BF1" w:rsidP="000C49ED">
      <w:pPr>
        <w:jc w:val="both"/>
      </w:pPr>
      <w:r>
        <w:t xml:space="preserve">Lovforslaget kan ses som dansk </w:t>
      </w:r>
      <w:r w:rsidRPr="0028729A">
        <w:t xml:space="preserve">implementering af </w:t>
      </w:r>
      <w:r>
        <w:t xml:space="preserve">de to </w:t>
      </w:r>
      <w:r w:rsidRPr="0028729A">
        <w:t>EU-direktiver:</w:t>
      </w:r>
      <w:r>
        <w:t xml:space="preserve"> </w:t>
      </w:r>
      <w:r w:rsidRPr="0028729A">
        <w:t>Energieffektivitetsdirektiv</w:t>
      </w:r>
      <w:r>
        <w:t>et</w:t>
      </w:r>
      <w:r w:rsidRPr="0028729A">
        <w:t xml:space="preserve"> (EED)</w:t>
      </w:r>
      <w:r>
        <w:t xml:space="preserve">, som trådte </w:t>
      </w:r>
      <w:r w:rsidRPr="0028729A">
        <w:t>i kraft i 2025</w:t>
      </w:r>
      <w:r>
        <w:t xml:space="preserve"> og </w:t>
      </w:r>
      <w:r w:rsidRPr="0028729A">
        <w:t>Bygningsdirektivet (EPBD)</w:t>
      </w:r>
      <w:r>
        <w:t xml:space="preserve">, som </w:t>
      </w:r>
      <w:r w:rsidRPr="0028729A">
        <w:t xml:space="preserve">i </w:t>
      </w:r>
      <w:r>
        <w:t xml:space="preserve">løbet af </w:t>
      </w:r>
      <w:r w:rsidRPr="0028729A">
        <w:t>2026</w:t>
      </w:r>
      <w:r w:rsidR="00256BB5">
        <w:t xml:space="preserve"> træder i kraft</w:t>
      </w:r>
      <w:r w:rsidRPr="0028729A">
        <w:t>.</w:t>
      </w:r>
      <w:r>
        <w:t xml:space="preserve"> </w:t>
      </w:r>
      <w:r w:rsidR="000C49ED">
        <w:t xml:space="preserve">I EPBD er </w:t>
      </w:r>
      <w:r w:rsidR="00EF4577" w:rsidRPr="00EF4577">
        <w:t>MEPS-kravet et centralt virkemiddel mod 2050-målet om en nulemissionsbygningsmasse. For landbruget er nøglespørgsmålet, hvilke bygninger der reelt falder ind under “ikke-beboelsesbygninger” og hvordan undtagelser håndteres</w:t>
      </w:r>
      <w:r w:rsidR="00EF4577">
        <w:t xml:space="preserve">, jf. </w:t>
      </w:r>
      <w:r w:rsidR="00EF4577" w:rsidRPr="00EF4577">
        <w:t>s. 23 og s. 143</w:t>
      </w:r>
      <w:r w:rsidR="0011181E">
        <w:t xml:space="preserve"> i h</w:t>
      </w:r>
      <w:r w:rsidR="0011181E" w:rsidRPr="00EF4577">
        <w:t>øringsudkastet</w:t>
      </w:r>
      <w:r w:rsidR="00EF4577" w:rsidRPr="00EF4577">
        <w:t>.</w:t>
      </w:r>
      <w:r w:rsidR="00EF4577">
        <w:t xml:space="preserve"> </w:t>
      </w:r>
      <w:r w:rsidR="000C49ED">
        <w:t>I EED påvirkes</w:t>
      </w:r>
      <w:r w:rsidR="000C49ED" w:rsidRPr="00600BB6">
        <w:t xml:space="preserve"> </w:t>
      </w:r>
      <w:r w:rsidR="000C49ED">
        <w:t>l</w:t>
      </w:r>
      <w:r w:rsidR="000C49ED" w:rsidRPr="00EF4577">
        <w:t>andbruget primært indirekte via håndhævelses- og forbrugerbeskyttelsesspor på energiområdet samt via data/dokumentationskrav, hvor virksomheder kan få behov for at stille oplysninger til rådighed.</w:t>
      </w:r>
      <w:r w:rsidR="000C49ED">
        <w:t xml:space="preserve"> </w:t>
      </w:r>
    </w:p>
    <w:p w14:paraId="2E56ECE0" w14:textId="77777777" w:rsidR="003C4BF1" w:rsidRDefault="003C4BF1" w:rsidP="00EF4577">
      <w:pPr>
        <w:jc w:val="both"/>
      </w:pPr>
    </w:p>
    <w:p w14:paraId="77C5E1C5" w14:textId="0E5F89B8" w:rsidR="00D90091" w:rsidRPr="00D90091" w:rsidRDefault="00376A3D" w:rsidP="00BB30A8">
      <w:pPr>
        <w:jc w:val="both"/>
        <w:rPr>
          <w:b/>
          <w:bCs/>
        </w:rPr>
      </w:pPr>
      <w:r>
        <w:rPr>
          <w:b/>
          <w:bCs/>
        </w:rPr>
        <w:t>L</w:t>
      </w:r>
      <w:r w:rsidRPr="00376A3D">
        <w:rPr>
          <w:b/>
          <w:bCs/>
        </w:rPr>
        <w:t>andbrugets produktion</w:t>
      </w:r>
    </w:p>
    <w:p w14:paraId="07F682B0" w14:textId="77777777" w:rsidR="003C4BF1" w:rsidRDefault="003C4BF1" w:rsidP="003C4BF1">
      <w:pPr>
        <w:jc w:val="both"/>
      </w:pPr>
      <w:r>
        <w:t xml:space="preserve">Landbrug &amp; Fødevarer er en medlemsorganisation der </w:t>
      </w:r>
      <w:r w:rsidRPr="00CE30A2">
        <w:t xml:space="preserve">repræsenterer </w:t>
      </w:r>
      <w:r>
        <w:t xml:space="preserve">ikke mindst </w:t>
      </w:r>
      <w:r w:rsidRPr="00CE30A2">
        <w:t>dansk</w:t>
      </w:r>
      <w:r>
        <w:t xml:space="preserve"> landbrug, som er opdelt på en række områder: herunder </w:t>
      </w:r>
      <w:r w:rsidRPr="00CE30A2">
        <w:t>husdyrproduktion, planteavl og tilknyttede driftsfunktioner.</w:t>
      </w:r>
      <w:r>
        <w:t xml:space="preserve"> I relation hertil ejer og driver landbruget </w:t>
      </w:r>
      <w:r w:rsidRPr="00CE30A2">
        <w:t>et stort antal</w:t>
      </w:r>
      <w:r>
        <w:t xml:space="preserve"> </w:t>
      </w:r>
      <w:r w:rsidRPr="00CE30A2">
        <w:t>specialiserede produktionsbygninger, som adskiller sig væsentligt fra almindelige erhvervs- og</w:t>
      </w:r>
      <w:r>
        <w:t xml:space="preserve"> </w:t>
      </w:r>
      <w:r w:rsidRPr="00CE30A2">
        <w:t>servicebygninger.</w:t>
      </w:r>
    </w:p>
    <w:p w14:paraId="6E61F44B" w14:textId="77777777" w:rsidR="003C4BF1" w:rsidRDefault="003C4BF1" w:rsidP="003C4BF1">
      <w:pPr>
        <w:jc w:val="both"/>
      </w:pPr>
    </w:p>
    <w:p w14:paraId="721B6012" w14:textId="7E245380" w:rsidR="0061541B" w:rsidRDefault="003C4BF1" w:rsidP="00376A3D">
      <w:pPr>
        <w:jc w:val="both"/>
        <w:rPr>
          <w:szCs w:val="18"/>
        </w:rPr>
      </w:pPr>
      <w:r>
        <w:t xml:space="preserve">Landbrug &amp; Fødevarer </w:t>
      </w:r>
      <w:r w:rsidRPr="008258BF">
        <w:t>vurder</w:t>
      </w:r>
      <w:r>
        <w:t>er</w:t>
      </w:r>
      <w:r w:rsidRPr="008258BF">
        <w:t>, at lovforslaget ikke er målrettet landbrugets</w:t>
      </w:r>
      <w:r>
        <w:t xml:space="preserve"> </w:t>
      </w:r>
      <w:r w:rsidRPr="008258BF">
        <w:t xml:space="preserve">produktionsforhold, men at landbruget alligevel kan blive indirekte berørt </w:t>
      </w:r>
      <w:r>
        <w:t xml:space="preserve">heraf, som følge af ejerskabet af en række </w:t>
      </w:r>
      <w:r w:rsidRPr="008258BF">
        <w:t>ikke</w:t>
      </w:r>
      <w:r>
        <w:t>-</w:t>
      </w:r>
      <w:r w:rsidRPr="008258BF">
        <w:t>beboelsesbygninger.</w:t>
      </w:r>
      <w:r>
        <w:t xml:space="preserve"> M</w:t>
      </w:r>
      <w:r w:rsidRPr="008258BF">
        <w:t>ålsætningen om at reducere energiforbrug og drivhusgasudledninger</w:t>
      </w:r>
      <w:r>
        <w:t xml:space="preserve"> er i udgangspunktet fin</w:t>
      </w:r>
      <w:r w:rsidRPr="008258BF">
        <w:t xml:space="preserve">, men </w:t>
      </w:r>
      <w:r>
        <w:t xml:space="preserve">vi </w:t>
      </w:r>
      <w:r w:rsidRPr="008258BF">
        <w:t>finder det</w:t>
      </w:r>
      <w:r>
        <w:t xml:space="preserve"> </w:t>
      </w:r>
      <w:r w:rsidRPr="008258BF">
        <w:t>afgørende, at reguleringen udformes proportionalt og målrettet, så den ikke utilsigtet rammer</w:t>
      </w:r>
      <w:r>
        <w:t xml:space="preserve"> </w:t>
      </w:r>
      <w:r w:rsidRPr="008258BF">
        <w:t>fødevareproduktionen.</w:t>
      </w:r>
      <w:r>
        <w:t xml:space="preserve"> </w:t>
      </w:r>
      <w:r w:rsidR="0061541B">
        <w:rPr>
          <w:szCs w:val="18"/>
        </w:rPr>
        <w:t xml:space="preserve">Der er </w:t>
      </w:r>
      <w:r w:rsidR="005805D8">
        <w:rPr>
          <w:szCs w:val="18"/>
        </w:rPr>
        <w:t xml:space="preserve">en række </w:t>
      </w:r>
      <w:r w:rsidR="0061541B">
        <w:rPr>
          <w:szCs w:val="18"/>
        </w:rPr>
        <w:t xml:space="preserve">væsentlige nedslag i forhold til brugen af landbrugets bygninger: </w:t>
      </w:r>
    </w:p>
    <w:p w14:paraId="7AD6CA8F" w14:textId="77777777" w:rsidR="0061541B" w:rsidRDefault="0061541B" w:rsidP="00376A3D">
      <w:pPr>
        <w:jc w:val="both"/>
        <w:rPr>
          <w:szCs w:val="18"/>
        </w:rPr>
      </w:pPr>
    </w:p>
    <w:p w14:paraId="591B1BBE" w14:textId="0373436C" w:rsidR="008E6C8A" w:rsidRDefault="00887954" w:rsidP="008E6C8A">
      <w:pPr>
        <w:jc w:val="both"/>
        <w:rPr>
          <w:szCs w:val="18"/>
        </w:rPr>
      </w:pPr>
      <w:r>
        <w:rPr>
          <w:szCs w:val="18"/>
        </w:rPr>
        <w:t xml:space="preserve">- </w:t>
      </w:r>
      <w:r w:rsidR="00376A3D">
        <w:rPr>
          <w:szCs w:val="18"/>
        </w:rPr>
        <w:t xml:space="preserve">Bygninger anvendt i landbrugsproduktionen kan ikke sidestilles med almindelige erhvervsbygninger. </w:t>
      </w:r>
      <w:r w:rsidR="000C49ED" w:rsidRPr="002F56E5">
        <w:rPr>
          <w:szCs w:val="18"/>
        </w:rPr>
        <w:t xml:space="preserve">Der bør være særlig opmærksomhed på, at landbrugets bygninger ofte har høj funktionel kompleksitet og hybridanvendelse, hvilket kræver klare afgrænsningsregler og pragmatisk </w:t>
      </w:r>
      <w:r w:rsidR="000C49ED" w:rsidRPr="002F56E5">
        <w:rPr>
          <w:szCs w:val="18"/>
        </w:rPr>
        <w:lastRenderedPageBreak/>
        <w:t>dokumentationspraksis.</w:t>
      </w:r>
      <w:r w:rsidR="000C49ED">
        <w:t xml:space="preserve"> </w:t>
      </w:r>
      <w:r w:rsidR="00376A3D">
        <w:rPr>
          <w:szCs w:val="18"/>
        </w:rPr>
        <w:t>Landbrugets bygninger, herunder stalde, foderanlæg, maskinhaller</w:t>
      </w:r>
      <w:r w:rsidR="003B4B34">
        <w:rPr>
          <w:szCs w:val="18"/>
        </w:rPr>
        <w:t>, værksteder</w:t>
      </w:r>
      <w:r w:rsidR="00376A3D">
        <w:rPr>
          <w:szCs w:val="18"/>
        </w:rPr>
        <w:t xml:space="preserve"> og tekniske driftsbygninger er integrerede produktionsanlæg, hvor bygningen er et redskab for produktionen snarere end et opholdsrum designet til at huse mennesker. </w:t>
      </w:r>
      <w:r w:rsidR="0059156C">
        <w:rPr>
          <w:szCs w:val="18"/>
        </w:rPr>
        <w:t>E</w:t>
      </w:r>
      <w:r w:rsidR="00376A3D">
        <w:rPr>
          <w:szCs w:val="18"/>
        </w:rPr>
        <w:t xml:space="preserve">nergiforbruget </w:t>
      </w:r>
      <w:r w:rsidR="0059156C">
        <w:rPr>
          <w:szCs w:val="18"/>
        </w:rPr>
        <w:t xml:space="preserve">er </w:t>
      </w:r>
      <w:r w:rsidR="00376A3D">
        <w:rPr>
          <w:szCs w:val="18"/>
        </w:rPr>
        <w:t>i vidt omfang procesrelateret energi</w:t>
      </w:r>
      <w:r w:rsidR="0061541B">
        <w:rPr>
          <w:szCs w:val="18"/>
        </w:rPr>
        <w:t>, anvendt</w:t>
      </w:r>
      <w:r w:rsidR="00376A3D">
        <w:rPr>
          <w:szCs w:val="18"/>
        </w:rPr>
        <w:t xml:space="preserve"> for at opretholde produktion</w:t>
      </w:r>
      <w:r w:rsidR="0061541B">
        <w:rPr>
          <w:szCs w:val="18"/>
        </w:rPr>
        <w:t>en</w:t>
      </w:r>
      <w:r w:rsidR="0059156C">
        <w:rPr>
          <w:szCs w:val="18"/>
        </w:rPr>
        <w:t>, hvilket betyder at</w:t>
      </w:r>
      <w:r w:rsidR="008E6C8A">
        <w:rPr>
          <w:szCs w:val="18"/>
        </w:rPr>
        <w:t xml:space="preserve"> energirenoveringer af sådanne bygninger ikke nødvendigvis </w:t>
      </w:r>
      <w:r w:rsidR="0059156C">
        <w:rPr>
          <w:szCs w:val="18"/>
        </w:rPr>
        <w:t xml:space="preserve">fører </w:t>
      </w:r>
      <w:r w:rsidR="008E6C8A">
        <w:rPr>
          <w:szCs w:val="18"/>
        </w:rPr>
        <w:t xml:space="preserve">til </w:t>
      </w:r>
      <w:r w:rsidR="00256BB5">
        <w:rPr>
          <w:szCs w:val="18"/>
        </w:rPr>
        <w:t xml:space="preserve">et </w:t>
      </w:r>
      <w:r w:rsidR="008E6C8A">
        <w:rPr>
          <w:szCs w:val="18"/>
        </w:rPr>
        <w:t xml:space="preserve">lavere </w:t>
      </w:r>
      <w:r w:rsidR="008E6C8A" w:rsidRPr="00232D37">
        <w:t>energi</w:t>
      </w:r>
      <w:r w:rsidR="00256BB5">
        <w:t>forbrug</w:t>
      </w:r>
      <w:r w:rsidR="008E6C8A">
        <w:t>.</w:t>
      </w:r>
    </w:p>
    <w:p w14:paraId="4F3933B5" w14:textId="77777777" w:rsidR="0061541B" w:rsidRDefault="0061541B" w:rsidP="00376A3D">
      <w:pPr>
        <w:jc w:val="both"/>
        <w:rPr>
          <w:szCs w:val="18"/>
        </w:rPr>
      </w:pPr>
    </w:p>
    <w:p w14:paraId="1D7D582C" w14:textId="3B6B3F10" w:rsidR="0061541B" w:rsidRPr="00376A3D" w:rsidRDefault="00887954" w:rsidP="0061541B">
      <w:pPr>
        <w:jc w:val="both"/>
        <w:rPr>
          <w:szCs w:val="18"/>
        </w:rPr>
      </w:pPr>
      <w:r>
        <w:rPr>
          <w:szCs w:val="18"/>
        </w:rPr>
        <w:t xml:space="preserve">-  </w:t>
      </w:r>
      <w:r w:rsidR="0061541B">
        <w:rPr>
          <w:szCs w:val="18"/>
        </w:rPr>
        <w:t>E</w:t>
      </w:r>
      <w:r w:rsidR="0061541B" w:rsidRPr="00376A3D">
        <w:rPr>
          <w:szCs w:val="18"/>
        </w:rPr>
        <w:t xml:space="preserve">nergiforbruget i landbrugets produktionsbygninger anvendes </w:t>
      </w:r>
      <w:r w:rsidR="0061541B">
        <w:rPr>
          <w:szCs w:val="18"/>
        </w:rPr>
        <w:t xml:space="preserve">i væsentlig grad til (a) </w:t>
      </w:r>
      <w:r w:rsidR="0061541B" w:rsidRPr="00376A3D">
        <w:rPr>
          <w:szCs w:val="18"/>
        </w:rPr>
        <w:t>ventilation og</w:t>
      </w:r>
    </w:p>
    <w:p w14:paraId="737E7FF6" w14:textId="77EE26C0" w:rsidR="0061541B" w:rsidRPr="00376A3D" w:rsidRDefault="0061541B" w:rsidP="0061541B">
      <w:pPr>
        <w:jc w:val="both"/>
        <w:rPr>
          <w:szCs w:val="18"/>
        </w:rPr>
      </w:pPr>
      <w:r w:rsidRPr="00376A3D">
        <w:rPr>
          <w:szCs w:val="18"/>
        </w:rPr>
        <w:t>Klimastyring</w:t>
      </w:r>
      <w:r>
        <w:rPr>
          <w:szCs w:val="18"/>
        </w:rPr>
        <w:t xml:space="preserve">, (b) </w:t>
      </w:r>
      <w:r w:rsidRPr="00376A3D">
        <w:rPr>
          <w:szCs w:val="18"/>
        </w:rPr>
        <w:t xml:space="preserve">opvarmning af hensyn til dyrenes sundhed </w:t>
      </w:r>
      <w:r>
        <w:rPr>
          <w:szCs w:val="18"/>
        </w:rPr>
        <w:t xml:space="preserve">og ikke mindst til (c) </w:t>
      </w:r>
      <w:r w:rsidRPr="00376A3D">
        <w:rPr>
          <w:szCs w:val="18"/>
        </w:rPr>
        <w:t>automatiserede produktions- og</w:t>
      </w:r>
      <w:r>
        <w:rPr>
          <w:szCs w:val="18"/>
        </w:rPr>
        <w:t xml:space="preserve"> </w:t>
      </w:r>
      <w:r w:rsidRPr="00376A3D">
        <w:rPr>
          <w:szCs w:val="18"/>
        </w:rPr>
        <w:t>fodringssystemer</w:t>
      </w:r>
      <w:r>
        <w:rPr>
          <w:szCs w:val="18"/>
        </w:rPr>
        <w:t>. En reduktion af d</w:t>
      </w:r>
      <w:r w:rsidRPr="00376A3D">
        <w:rPr>
          <w:szCs w:val="18"/>
        </w:rPr>
        <w:t xml:space="preserve">ette energiforbrug </w:t>
      </w:r>
      <w:r>
        <w:rPr>
          <w:szCs w:val="18"/>
        </w:rPr>
        <w:t xml:space="preserve">er </w:t>
      </w:r>
      <w:r w:rsidRPr="00376A3D">
        <w:rPr>
          <w:szCs w:val="18"/>
        </w:rPr>
        <w:t xml:space="preserve">ikke </w:t>
      </w:r>
      <w:r>
        <w:rPr>
          <w:szCs w:val="18"/>
        </w:rPr>
        <w:t xml:space="preserve">muligt i </w:t>
      </w:r>
      <w:r w:rsidRPr="00376A3D">
        <w:rPr>
          <w:szCs w:val="18"/>
        </w:rPr>
        <w:t xml:space="preserve">væsentligt </w:t>
      </w:r>
      <w:r>
        <w:rPr>
          <w:szCs w:val="18"/>
        </w:rPr>
        <w:t xml:space="preserve">omfang </w:t>
      </w:r>
      <w:r w:rsidRPr="00376A3D">
        <w:rPr>
          <w:szCs w:val="18"/>
        </w:rPr>
        <w:t xml:space="preserve">uden at </w:t>
      </w:r>
      <w:r>
        <w:rPr>
          <w:szCs w:val="18"/>
        </w:rPr>
        <w:t xml:space="preserve">det </w:t>
      </w:r>
      <w:r w:rsidRPr="00376A3D">
        <w:rPr>
          <w:szCs w:val="18"/>
        </w:rPr>
        <w:t>påvirke</w:t>
      </w:r>
      <w:r>
        <w:rPr>
          <w:szCs w:val="18"/>
        </w:rPr>
        <w:t>r</w:t>
      </w:r>
      <w:r w:rsidRPr="00376A3D">
        <w:rPr>
          <w:szCs w:val="18"/>
        </w:rPr>
        <w:t xml:space="preserve"> produktion</w:t>
      </w:r>
      <w:r>
        <w:rPr>
          <w:szCs w:val="18"/>
        </w:rPr>
        <w:t>en</w:t>
      </w:r>
      <w:r w:rsidRPr="00376A3D">
        <w:rPr>
          <w:szCs w:val="18"/>
        </w:rPr>
        <w:t xml:space="preserve"> og</w:t>
      </w:r>
      <w:r>
        <w:rPr>
          <w:szCs w:val="18"/>
        </w:rPr>
        <w:t xml:space="preserve"> </w:t>
      </w:r>
      <w:r w:rsidRPr="00376A3D">
        <w:rPr>
          <w:szCs w:val="18"/>
        </w:rPr>
        <w:t>fødevaresikkerhed</w:t>
      </w:r>
      <w:r>
        <w:rPr>
          <w:szCs w:val="18"/>
        </w:rPr>
        <w:t>en</w:t>
      </w:r>
      <w:r w:rsidRPr="00376A3D">
        <w:rPr>
          <w:szCs w:val="18"/>
        </w:rPr>
        <w:t>.</w:t>
      </w:r>
    </w:p>
    <w:p w14:paraId="3C4358CE" w14:textId="77777777" w:rsidR="0061541B" w:rsidRDefault="0061541B" w:rsidP="00376A3D">
      <w:pPr>
        <w:jc w:val="both"/>
        <w:rPr>
          <w:b/>
          <w:bCs/>
          <w:szCs w:val="18"/>
        </w:rPr>
      </w:pPr>
    </w:p>
    <w:p w14:paraId="6C7E28E5" w14:textId="53C7D3F2" w:rsidR="00593476" w:rsidRPr="00376A3D" w:rsidRDefault="00887954" w:rsidP="00593476">
      <w:pPr>
        <w:jc w:val="both"/>
        <w:rPr>
          <w:szCs w:val="18"/>
        </w:rPr>
      </w:pPr>
      <w:r>
        <w:rPr>
          <w:szCs w:val="18"/>
        </w:rPr>
        <w:t xml:space="preserve">- </w:t>
      </w:r>
      <w:r w:rsidR="00593476" w:rsidRPr="00376A3D">
        <w:rPr>
          <w:szCs w:val="18"/>
        </w:rPr>
        <w:t>Husdyrproduktion er underlagt omfattende national og EU-retslig regulering om dyrevelfærd, som</w:t>
      </w:r>
    </w:p>
    <w:p w14:paraId="25FD1B81" w14:textId="6C110E3A" w:rsidR="00593476" w:rsidRDefault="00593476" w:rsidP="00593476">
      <w:pPr>
        <w:jc w:val="both"/>
        <w:rPr>
          <w:szCs w:val="18"/>
        </w:rPr>
      </w:pPr>
      <w:r w:rsidRPr="00376A3D">
        <w:rPr>
          <w:szCs w:val="18"/>
        </w:rPr>
        <w:t>fastsætter bindende krav til temperatur, ventilation, luftkvalitet og staldindretning.</w:t>
      </w:r>
      <w:r>
        <w:rPr>
          <w:szCs w:val="18"/>
        </w:rPr>
        <w:t xml:space="preserve"> </w:t>
      </w:r>
      <w:r w:rsidRPr="00376A3D">
        <w:rPr>
          <w:szCs w:val="18"/>
        </w:rPr>
        <w:t xml:space="preserve">Disse krav </w:t>
      </w:r>
      <w:r w:rsidR="00702643">
        <w:rPr>
          <w:szCs w:val="18"/>
        </w:rPr>
        <w:t xml:space="preserve">til husdyr skal have forrang ved vurderingen af energimæssige krav, hvilket sætter en </w:t>
      </w:r>
      <w:r w:rsidRPr="00376A3D">
        <w:rPr>
          <w:szCs w:val="18"/>
        </w:rPr>
        <w:t>begræns</w:t>
      </w:r>
      <w:r w:rsidR="00702643">
        <w:rPr>
          <w:szCs w:val="18"/>
        </w:rPr>
        <w:t>ning</w:t>
      </w:r>
      <w:r w:rsidRPr="00376A3D">
        <w:rPr>
          <w:szCs w:val="18"/>
        </w:rPr>
        <w:t xml:space="preserve"> for </w:t>
      </w:r>
      <w:r w:rsidR="00702643">
        <w:rPr>
          <w:szCs w:val="18"/>
        </w:rPr>
        <w:t xml:space="preserve">at gennemføre </w:t>
      </w:r>
      <w:r w:rsidRPr="00376A3D">
        <w:rPr>
          <w:szCs w:val="18"/>
        </w:rPr>
        <w:t>klassiske energirenoveringstiltag.</w:t>
      </w:r>
    </w:p>
    <w:p w14:paraId="76592FE9" w14:textId="77777777" w:rsidR="000C49ED" w:rsidRDefault="000C49ED" w:rsidP="00593476">
      <w:pPr>
        <w:jc w:val="both"/>
        <w:rPr>
          <w:szCs w:val="18"/>
        </w:rPr>
      </w:pPr>
    </w:p>
    <w:p w14:paraId="406808DA" w14:textId="178AB361" w:rsidR="000C49ED" w:rsidRPr="000C49ED" w:rsidRDefault="000C49ED" w:rsidP="000C49ED">
      <w:pPr>
        <w:jc w:val="both"/>
        <w:rPr>
          <w:szCs w:val="18"/>
        </w:rPr>
      </w:pPr>
      <w:r w:rsidRPr="002F56E5">
        <w:rPr>
          <w:szCs w:val="18"/>
        </w:rPr>
        <w:t>- Det bør sikres, at nye håndhævelseskrav ikke skaber unødige administrative byrder for landbrugets virksomheder, særligt hvor energi- og målerforhold på ejendommen er komplekse.</w:t>
      </w:r>
    </w:p>
    <w:p w14:paraId="4081C1C1" w14:textId="77777777" w:rsidR="000C49ED" w:rsidRDefault="000C49ED" w:rsidP="00593476">
      <w:pPr>
        <w:jc w:val="both"/>
        <w:rPr>
          <w:szCs w:val="18"/>
        </w:rPr>
      </w:pPr>
    </w:p>
    <w:p w14:paraId="01ED32C7" w14:textId="200C93E1" w:rsidR="004839BF" w:rsidRDefault="00FF7F8B" w:rsidP="00376A3D">
      <w:pPr>
        <w:jc w:val="both"/>
        <w:rPr>
          <w:b/>
          <w:bCs/>
          <w:szCs w:val="18"/>
        </w:rPr>
      </w:pPr>
      <w:r>
        <w:rPr>
          <w:b/>
          <w:bCs/>
          <w:szCs w:val="18"/>
        </w:rPr>
        <w:t>MEPS-kravet</w:t>
      </w:r>
      <w:r w:rsidR="00B11F63">
        <w:rPr>
          <w:b/>
          <w:bCs/>
          <w:szCs w:val="18"/>
        </w:rPr>
        <w:t xml:space="preserve"> bør kun gælde visse landbrugsbygninger</w:t>
      </w:r>
    </w:p>
    <w:p w14:paraId="0319D842" w14:textId="06518D83" w:rsidR="00F518B0" w:rsidRDefault="00000511" w:rsidP="00A61D58">
      <w:pPr>
        <w:jc w:val="both"/>
        <w:rPr>
          <w:szCs w:val="18"/>
        </w:rPr>
      </w:pPr>
      <w:r>
        <w:rPr>
          <w:szCs w:val="18"/>
        </w:rPr>
        <w:t>M</w:t>
      </w:r>
      <w:r w:rsidR="007F17E6">
        <w:rPr>
          <w:szCs w:val="18"/>
        </w:rPr>
        <w:t>ed lovforslaget ønske</w:t>
      </w:r>
      <w:r>
        <w:rPr>
          <w:szCs w:val="18"/>
        </w:rPr>
        <w:t>s</w:t>
      </w:r>
      <w:r w:rsidR="007F17E6">
        <w:rPr>
          <w:szCs w:val="18"/>
        </w:rPr>
        <w:t xml:space="preserve"> </w:t>
      </w:r>
      <w:r>
        <w:rPr>
          <w:szCs w:val="18"/>
        </w:rPr>
        <w:t xml:space="preserve">EU’s </w:t>
      </w:r>
      <w:r w:rsidR="00C10490">
        <w:rPr>
          <w:szCs w:val="18"/>
        </w:rPr>
        <w:t xml:space="preserve">seneste bygningsregulativ implementeret, hvilket inkluderer </w:t>
      </w:r>
      <w:r w:rsidR="00B11F63">
        <w:rPr>
          <w:szCs w:val="18"/>
        </w:rPr>
        <w:t>MEPS-krav</w:t>
      </w:r>
      <w:r w:rsidR="003B4B34">
        <w:rPr>
          <w:szCs w:val="18"/>
        </w:rPr>
        <w:t xml:space="preserve">et om </w:t>
      </w:r>
      <w:r w:rsidR="00B11F63">
        <w:rPr>
          <w:szCs w:val="18"/>
        </w:rPr>
        <w:t>overholdelse af minimumsstandarder for ikke-</w:t>
      </w:r>
      <w:r w:rsidR="00B11F63" w:rsidRPr="007F17E6">
        <w:rPr>
          <w:szCs w:val="18"/>
        </w:rPr>
        <w:t>beboelsesbygninger</w:t>
      </w:r>
      <w:r w:rsidR="007F17E6" w:rsidRPr="007F17E6">
        <w:rPr>
          <w:szCs w:val="18"/>
        </w:rPr>
        <w:t>s ydeevne</w:t>
      </w:r>
      <w:r w:rsidR="00B11F63" w:rsidRPr="007F17E6">
        <w:rPr>
          <w:szCs w:val="18"/>
        </w:rPr>
        <w:t xml:space="preserve">. </w:t>
      </w:r>
      <w:r w:rsidR="007C464D">
        <w:rPr>
          <w:szCs w:val="18"/>
        </w:rPr>
        <w:t xml:space="preserve">Det fremgår af høringsudkastet, at udvælgelsen af </w:t>
      </w:r>
      <w:r w:rsidR="0011181E" w:rsidRPr="0011181E">
        <w:rPr>
          <w:szCs w:val="18"/>
        </w:rPr>
        <w:t>bygninger</w:t>
      </w:r>
      <w:r w:rsidR="007C464D">
        <w:rPr>
          <w:szCs w:val="18"/>
        </w:rPr>
        <w:t xml:space="preserve"> baseres </w:t>
      </w:r>
      <w:r w:rsidR="008859E5">
        <w:rPr>
          <w:szCs w:val="18"/>
        </w:rPr>
        <w:t xml:space="preserve">på </w:t>
      </w:r>
      <w:r w:rsidR="0011181E" w:rsidRPr="0011181E">
        <w:rPr>
          <w:szCs w:val="18"/>
        </w:rPr>
        <w:t>BBR-anvendelseskoder. Der gives</w:t>
      </w:r>
      <w:r w:rsidR="007C464D">
        <w:rPr>
          <w:szCs w:val="18"/>
        </w:rPr>
        <w:t xml:space="preserve"> </w:t>
      </w:r>
      <w:r w:rsidR="008859E5">
        <w:rPr>
          <w:szCs w:val="18"/>
        </w:rPr>
        <w:t xml:space="preserve">i høringsudkastet </w:t>
      </w:r>
      <w:r w:rsidR="007C464D">
        <w:rPr>
          <w:szCs w:val="18"/>
        </w:rPr>
        <w:t>et</w:t>
      </w:r>
      <w:r w:rsidR="0011181E" w:rsidRPr="0011181E">
        <w:rPr>
          <w:szCs w:val="18"/>
        </w:rPr>
        <w:t xml:space="preserve"> </w:t>
      </w:r>
      <w:r w:rsidR="00256BB5">
        <w:rPr>
          <w:szCs w:val="18"/>
        </w:rPr>
        <w:t>fordelings</w:t>
      </w:r>
      <w:r w:rsidR="0011181E" w:rsidRPr="0011181E">
        <w:rPr>
          <w:szCs w:val="18"/>
        </w:rPr>
        <w:t xml:space="preserve">eksempel med 49 </w:t>
      </w:r>
      <w:r w:rsidR="0011181E">
        <w:rPr>
          <w:szCs w:val="18"/>
        </w:rPr>
        <w:t xml:space="preserve">pct. </w:t>
      </w:r>
      <w:r w:rsidR="0011181E" w:rsidRPr="0011181E">
        <w:rPr>
          <w:szCs w:val="18"/>
        </w:rPr>
        <w:t xml:space="preserve">bolig </w:t>
      </w:r>
      <w:r w:rsidR="0011181E">
        <w:rPr>
          <w:szCs w:val="18"/>
        </w:rPr>
        <w:t xml:space="preserve">og </w:t>
      </w:r>
      <w:r w:rsidR="0011181E" w:rsidRPr="0011181E">
        <w:rPr>
          <w:szCs w:val="18"/>
        </w:rPr>
        <w:t xml:space="preserve">51 </w:t>
      </w:r>
      <w:r w:rsidR="0011181E">
        <w:rPr>
          <w:szCs w:val="18"/>
        </w:rPr>
        <w:t xml:space="preserve">pct. </w:t>
      </w:r>
      <w:r w:rsidR="0011181E" w:rsidRPr="0011181E">
        <w:rPr>
          <w:szCs w:val="18"/>
        </w:rPr>
        <w:t>kontor, hvor bygningen dermed behandles som ikke-beboelsesbygning</w:t>
      </w:r>
      <w:r w:rsidR="0011181E">
        <w:rPr>
          <w:szCs w:val="18"/>
        </w:rPr>
        <w:t>, jf. s. 23</w:t>
      </w:r>
      <w:r w:rsidR="0011181E" w:rsidRPr="0011181E">
        <w:rPr>
          <w:szCs w:val="18"/>
        </w:rPr>
        <w:t>.</w:t>
      </w:r>
      <w:r w:rsidR="00A61D58">
        <w:rPr>
          <w:szCs w:val="18"/>
        </w:rPr>
        <w:t xml:space="preserve"> </w:t>
      </w:r>
    </w:p>
    <w:p w14:paraId="0594A176" w14:textId="77777777" w:rsidR="00F518B0" w:rsidRDefault="00F518B0" w:rsidP="00A61D58">
      <w:pPr>
        <w:jc w:val="both"/>
        <w:rPr>
          <w:szCs w:val="18"/>
        </w:rPr>
      </w:pPr>
    </w:p>
    <w:p w14:paraId="71FFC8EB" w14:textId="1A63E6A9" w:rsidR="00A61D58" w:rsidRDefault="00A61D58" w:rsidP="00A61D58">
      <w:pPr>
        <w:jc w:val="both"/>
        <w:rPr>
          <w:szCs w:val="18"/>
        </w:rPr>
      </w:pPr>
      <w:r>
        <w:rPr>
          <w:szCs w:val="18"/>
        </w:rPr>
        <w:t>Det fremgår af EPBD artikel 9, stk. 6c, at m</w:t>
      </w:r>
      <w:r w:rsidRPr="00AF7F09">
        <w:rPr>
          <w:szCs w:val="18"/>
        </w:rPr>
        <w:t xml:space="preserve">edlemsstaterne </w:t>
      </w:r>
      <w:r>
        <w:rPr>
          <w:szCs w:val="18"/>
        </w:rPr>
        <w:t xml:space="preserve">kan undlade brugen af MEPS-kravet </w:t>
      </w:r>
      <w:r w:rsidRPr="00AF7F09">
        <w:rPr>
          <w:szCs w:val="18"/>
        </w:rPr>
        <w:t xml:space="preserve">for energimæssig ydeevne på </w:t>
      </w:r>
      <w:r>
        <w:rPr>
          <w:szCs w:val="18"/>
        </w:rPr>
        <w:t xml:space="preserve">blandt andet </w:t>
      </w:r>
      <w:proofErr w:type="gramStart"/>
      <w:r>
        <w:rPr>
          <w:szCs w:val="18"/>
        </w:rPr>
        <w:t>”…værksteder</w:t>
      </w:r>
      <w:proofErr w:type="gramEnd"/>
      <w:r>
        <w:rPr>
          <w:szCs w:val="18"/>
        </w:rPr>
        <w:t xml:space="preserve"> og </w:t>
      </w:r>
      <w:r w:rsidRPr="008677C0">
        <w:rPr>
          <w:szCs w:val="18"/>
        </w:rPr>
        <w:t>landbrugsbygninger med lavt energiforbrug</w:t>
      </w:r>
      <w:r>
        <w:rPr>
          <w:szCs w:val="18"/>
        </w:rPr>
        <w:t>, der ikke anvendes til beboelse”. Derved forstås</w:t>
      </w:r>
      <w:r w:rsidRPr="008677C0">
        <w:rPr>
          <w:szCs w:val="18"/>
        </w:rPr>
        <w:t xml:space="preserve"> </w:t>
      </w:r>
      <w:r>
        <w:rPr>
          <w:szCs w:val="18"/>
        </w:rPr>
        <w:t xml:space="preserve">fx </w:t>
      </w:r>
      <w:r w:rsidRPr="008677C0">
        <w:rPr>
          <w:szCs w:val="18"/>
        </w:rPr>
        <w:t>maskinhal, stald, foderlade m.v.</w:t>
      </w:r>
      <w:r>
        <w:rPr>
          <w:szCs w:val="18"/>
        </w:rPr>
        <w:t xml:space="preserve"> Energistyrelsen har desuden præciseret dette i sit offentliggjorde bilag 2 vedr. undtagelsesmuligheder i MEPS den 4. dec. 2024. Her fremgår det eksplicit, at ”</w:t>
      </w:r>
      <w:r w:rsidRPr="002B7632">
        <w:rPr>
          <w:i/>
          <w:iCs/>
          <w:szCs w:val="18"/>
        </w:rPr>
        <w:t>MEPS-kravet kun er gældende for bygninger der er opvarmede eller nedkølede – og ikke procesenergi</w:t>
      </w:r>
      <w:r>
        <w:rPr>
          <w:szCs w:val="18"/>
        </w:rPr>
        <w:t>”. Det fremgår desuden hvilke specifikke BBR-koder indenfor landbruget (inkl. væksthuse) der ikke er omfattet af MEPS-kravene eller kan få en undtagelse herfor.</w:t>
      </w:r>
      <w:r w:rsidR="00297369">
        <w:rPr>
          <w:szCs w:val="18"/>
        </w:rPr>
        <w:t xml:space="preserve"> </w:t>
      </w:r>
    </w:p>
    <w:p w14:paraId="19FC7B83" w14:textId="77777777" w:rsidR="0011181E" w:rsidRPr="0011181E" w:rsidRDefault="0011181E" w:rsidP="002F56E5">
      <w:pPr>
        <w:spacing w:line="360" w:lineRule="auto"/>
        <w:jc w:val="both"/>
        <w:rPr>
          <w:szCs w:val="18"/>
        </w:rPr>
      </w:pPr>
    </w:p>
    <w:p w14:paraId="408D1442" w14:textId="1784B627" w:rsidR="00A61D58" w:rsidRDefault="00A61D58" w:rsidP="002F56E5">
      <w:pPr>
        <w:spacing w:line="360" w:lineRule="auto"/>
        <w:jc w:val="both"/>
        <w:rPr>
          <w:rFonts w:cs="Arial"/>
          <w:szCs w:val="18"/>
        </w:rPr>
      </w:pPr>
      <w:r w:rsidRPr="00C0180D">
        <w:rPr>
          <w:rFonts w:cs="Arial"/>
          <w:szCs w:val="18"/>
        </w:rPr>
        <w:t xml:space="preserve">Landbrug &amp; Fødevarer finder det afgørende, at: </w:t>
      </w:r>
    </w:p>
    <w:p w14:paraId="174FE638" w14:textId="57E61F35" w:rsidR="00A61D58" w:rsidRPr="00C0180D" w:rsidRDefault="00297369" w:rsidP="00297369">
      <w:pPr>
        <w:pStyle w:val="Listeafsni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="00A61D58" w:rsidRPr="00C0180D">
        <w:rPr>
          <w:rFonts w:ascii="Arial" w:hAnsi="Arial" w:cs="Arial"/>
          <w:sz w:val="18"/>
          <w:szCs w:val="18"/>
        </w:rPr>
        <w:t>andbrugets produktionsbygninger som udgangspunkt undtages MEPS-kravet som ”visse landbrugsbygninger”.</w:t>
      </w:r>
      <w:r w:rsidR="00A61D58">
        <w:rPr>
          <w:rFonts w:ascii="Arial" w:hAnsi="Arial" w:cs="Arial"/>
          <w:sz w:val="18"/>
          <w:szCs w:val="18"/>
        </w:rPr>
        <w:t xml:space="preserve"> </w:t>
      </w:r>
    </w:p>
    <w:p w14:paraId="1E743702" w14:textId="41D360B7" w:rsidR="00F245FC" w:rsidRPr="002F56E5" w:rsidRDefault="00F245FC" w:rsidP="00297369">
      <w:pPr>
        <w:pStyle w:val="Listeafsnit"/>
        <w:numPr>
          <w:ilvl w:val="0"/>
          <w:numId w:val="7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C0180D">
        <w:rPr>
          <w:rFonts w:ascii="Arial" w:hAnsi="Arial" w:cs="Arial"/>
          <w:sz w:val="18"/>
          <w:szCs w:val="18"/>
        </w:rPr>
        <w:t xml:space="preserve">rocesenergi </w:t>
      </w:r>
      <w:r>
        <w:rPr>
          <w:rFonts w:ascii="Arial" w:hAnsi="Arial" w:cs="Arial"/>
          <w:sz w:val="18"/>
          <w:szCs w:val="18"/>
        </w:rPr>
        <w:t xml:space="preserve">skal </w:t>
      </w:r>
      <w:r w:rsidRPr="00C0180D">
        <w:rPr>
          <w:rFonts w:ascii="Arial" w:hAnsi="Arial" w:cs="Arial"/>
          <w:sz w:val="18"/>
          <w:szCs w:val="18"/>
        </w:rPr>
        <w:t>tydeligt adskilles fra bygningsenergi ved vurdering af energimæssig ydeevne.</w:t>
      </w:r>
    </w:p>
    <w:p w14:paraId="33F30ED7" w14:textId="2B8B6A27" w:rsidR="00297369" w:rsidRPr="00C0180D" w:rsidRDefault="00297369" w:rsidP="00297369">
      <w:pPr>
        <w:pStyle w:val="Listeafsnit"/>
        <w:numPr>
          <w:ilvl w:val="0"/>
          <w:numId w:val="7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A61D58" w:rsidRPr="00C0180D">
        <w:rPr>
          <w:rFonts w:ascii="Arial" w:hAnsi="Arial" w:cs="Arial"/>
          <w:sz w:val="18"/>
          <w:szCs w:val="18"/>
        </w:rPr>
        <w:t>er bør fastsættes klare</w:t>
      </w:r>
      <w:r w:rsidR="00F245FC">
        <w:rPr>
          <w:rFonts w:ascii="Arial" w:hAnsi="Arial" w:cs="Arial"/>
          <w:sz w:val="18"/>
          <w:szCs w:val="18"/>
        </w:rPr>
        <w:t>,</w:t>
      </w:r>
      <w:r w:rsidR="00A61D58" w:rsidRPr="00C0180D">
        <w:rPr>
          <w:rFonts w:ascii="Arial" w:hAnsi="Arial" w:cs="Arial"/>
          <w:sz w:val="18"/>
          <w:szCs w:val="18"/>
        </w:rPr>
        <w:t xml:space="preserve"> forudsigelige </w:t>
      </w:r>
      <w:r w:rsidR="00F245FC">
        <w:rPr>
          <w:rFonts w:ascii="Arial" w:hAnsi="Arial" w:cs="Arial"/>
          <w:sz w:val="18"/>
          <w:szCs w:val="18"/>
        </w:rPr>
        <w:t xml:space="preserve">og operationelle </w:t>
      </w:r>
      <w:r w:rsidR="00A61D58" w:rsidRPr="00C0180D">
        <w:rPr>
          <w:rFonts w:ascii="Arial" w:hAnsi="Arial" w:cs="Arial"/>
          <w:sz w:val="18"/>
          <w:szCs w:val="18"/>
        </w:rPr>
        <w:t>kriterier for undtagelse og dispensation</w:t>
      </w:r>
      <w:r w:rsidR="00A61D58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D</w:t>
      </w:r>
      <w:r w:rsidRPr="00C0180D">
        <w:rPr>
          <w:rFonts w:ascii="Arial" w:hAnsi="Arial" w:cs="Arial"/>
          <w:sz w:val="18"/>
          <w:szCs w:val="18"/>
        </w:rPr>
        <w:t xml:space="preserve">er </w:t>
      </w:r>
      <w:r>
        <w:rPr>
          <w:rFonts w:ascii="Arial" w:hAnsi="Arial" w:cs="Arial"/>
          <w:sz w:val="18"/>
          <w:szCs w:val="18"/>
        </w:rPr>
        <w:t xml:space="preserve">må </w:t>
      </w:r>
      <w:r w:rsidRPr="00C0180D">
        <w:rPr>
          <w:rFonts w:ascii="Arial" w:hAnsi="Arial" w:cs="Arial"/>
          <w:sz w:val="18"/>
          <w:szCs w:val="18"/>
        </w:rPr>
        <w:t xml:space="preserve">ikke stilles krav, som kan føre til: </w:t>
      </w:r>
    </w:p>
    <w:p w14:paraId="0E8D15E4" w14:textId="77777777" w:rsidR="00297369" w:rsidRPr="00C0180D" w:rsidRDefault="00297369" w:rsidP="00297369">
      <w:pPr>
        <w:pStyle w:val="Listeafsnit"/>
        <w:numPr>
          <w:ilvl w:val="1"/>
          <w:numId w:val="7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FF7F8B">
        <w:rPr>
          <w:rFonts w:ascii="Arial" w:eastAsia="Times New Roman" w:hAnsi="Arial" w:cs="Arial"/>
          <w:sz w:val="18"/>
          <w:szCs w:val="18"/>
        </w:rPr>
        <w:t>forringet dyrevelfærd</w:t>
      </w:r>
    </w:p>
    <w:p w14:paraId="558D7FC1" w14:textId="77777777" w:rsidR="00297369" w:rsidRPr="00C0180D" w:rsidRDefault="00297369" w:rsidP="00297369">
      <w:pPr>
        <w:pStyle w:val="Listeafsni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F7F8B">
        <w:rPr>
          <w:rFonts w:ascii="Arial" w:eastAsia="Times New Roman" w:hAnsi="Arial" w:cs="Arial"/>
          <w:sz w:val="18"/>
          <w:szCs w:val="18"/>
        </w:rPr>
        <w:t>produktionsbegrænsninger</w:t>
      </w:r>
    </w:p>
    <w:p w14:paraId="306AE43C" w14:textId="77777777" w:rsidR="00297369" w:rsidRPr="00C0180D" w:rsidRDefault="00297369" w:rsidP="00297369">
      <w:pPr>
        <w:pStyle w:val="Listeafsni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180D">
        <w:rPr>
          <w:rFonts w:ascii="Arial" w:eastAsia="Times New Roman" w:hAnsi="Arial" w:cs="Arial"/>
          <w:sz w:val="18"/>
          <w:szCs w:val="18"/>
        </w:rPr>
        <w:t>uforholdsmæssige økonomiske byrder</w:t>
      </w:r>
    </w:p>
    <w:p w14:paraId="20D35AD5" w14:textId="78058AD6" w:rsidR="001B096C" w:rsidRPr="002F56E5" w:rsidRDefault="00A61D58" w:rsidP="002F56E5">
      <w:pPr>
        <w:pStyle w:val="Listeafsnit"/>
        <w:numPr>
          <w:ilvl w:val="0"/>
          <w:numId w:val="8"/>
        </w:numPr>
        <w:spacing w:line="360" w:lineRule="auto"/>
        <w:jc w:val="both"/>
        <w:rPr>
          <w:rFonts w:ascii="Arial" w:eastAsia="Times New Roman" w:hAnsi="Arial" w:cs="Times New Roman"/>
          <w:kern w:val="0"/>
          <w:sz w:val="18"/>
          <w:szCs w:val="18"/>
          <w14:ligatures w14:val="none"/>
        </w:rPr>
      </w:pPr>
      <w:r w:rsidRPr="002F56E5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 xml:space="preserve">Brugen af en BBR-afgrænsning udgør en høj risiko for landbruget. Når BBR-anvendelseskoder bliver nøglen til compliance, skal der </w:t>
      </w:r>
      <w:r w:rsidR="00F518B0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 xml:space="preserve">foreligge </w:t>
      </w:r>
      <w:r w:rsidRPr="002F56E5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 xml:space="preserve">klar vejledning og realistisk overgang, så ejere kan </w:t>
      </w:r>
      <w:r w:rsidR="00F518B0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 xml:space="preserve">få </w:t>
      </w:r>
      <w:r w:rsidRPr="002F56E5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>ret</w:t>
      </w:r>
      <w:r w:rsidR="000D7752" w:rsidRPr="002F56E5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>te</w:t>
      </w:r>
      <w:r w:rsidR="00F518B0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>t</w:t>
      </w:r>
      <w:r w:rsidR="000D7752" w:rsidRPr="002F56E5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 xml:space="preserve"> i BBR</w:t>
      </w:r>
      <w:r w:rsidRPr="002F56E5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 xml:space="preserve"> uden sanktion</w:t>
      </w:r>
      <w:r w:rsidR="000D7752" w:rsidRPr="002F56E5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 xml:space="preserve"> </w:t>
      </w:r>
      <w:r w:rsidR="008F7E68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 xml:space="preserve">eller </w:t>
      </w:r>
      <w:r w:rsidRPr="002F56E5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>uhensigtsmæssige</w:t>
      </w:r>
      <w:r w:rsidR="000D7752" w:rsidRPr="002F56E5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 xml:space="preserve"> krav til</w:t>
      </w:r>
      <w:r w:rsidRPr="002F56E5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 xml:space="preserve"> følge</w:t>
      </w:r>
      <w:r w:rsidR="000D7752" w:rsidRPr="002F56E5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 xml:space="preserve">, jf.  </w:t>
      </w:r>
      <w:r w:rsidRPr="002F56E5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>s. 23 og s. 143</w:t>
      </w:r>
      <w:r w:rsidR="000D7752" w:rsidRPr="002F56E5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 xml:space="preserve"> i høringsudkastet</w:t>
      </w:r>
      <w:r w:rsidRPr="002F56E5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>.</w:t>
      </w:r>
    </w:p>
    <w:p w14:paraId="42C33AC3" w14:textId="77777777" w:rsidR="00297369" w:rsidRPr="002F56E5" w:rsidRDefault="001B096C" w:rsidP="002F56E5">
      <w:pPr>
        <w:pStyle w:val="Listeafsnit"/>
        <w:numPr>
          <w:ilvl w:val="0"/>
          <w:numId w:val="8"/>
        </w:numPr>
        <w:spacing w:line="360" w:lineRule="auto"/>
        <w:jc w:val="both"/>
        <w:rPr>
          <w:rFonts w:ascii="Arial" w:eastAsia="Times New Roman" w:hAnsi="Arial" w:cs="Times New Roman"/>
          <w:kern w:val="0"/>
          <w:sz w:val="18"/>
          <w:szCs w:val="18"/>
          <w14:ligatures w14:val="none"/>
        </w:rPr>
      </w:pPr>
      <w:r w:rsidRPr="002F56E5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 xml:space="preserve">Blandet anvendelse </w:t>
      </w:r>
      <w:r w:rsidR="00297369" w:rsidRPr="002F56E5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 xml:space="preserve">mht. </w:t>
      </w:r>
      <w:r w:rsidRPr="002F56E5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>bolig + drift/erhverv kræver særskilt håndtering. Eksemplet i høringsudkastet viser, at “største anvendelse” kan trække hele bygningen ind i ikke-beboelsesregimet. På landbrugsejendomme kan dette give utilsigtede effekter, hvor boligdelen i praksis “medreguleres” pga. driftens arealer, jf. s. 23 i høringsudkastet.</w:t>
      </w:r>
    </w:p>
    <w:p w14:paraId="31525ADF" w14:textId="04A7D5B9" w:rsidR="00330C8A" w:rsidRPr="00330C8A" w:rsidRDefault="00330C8A" w:rsidP="002F56E5">
      <w:pPr>
        <w:rPr>
          <w:b/>
          <w:bCs/>
        </w:rPr>
      </w:pPr>
      <w:bookmarkStart w:id="0" w:name="_Hlk188009817"/>
      <w:r w:rsidRPr="00330C8A">
        <w:rPr>
          <w:b/>
          <w:bCs/>
        </w:rPr>
        <w:t>Minimer administrative krav</w:t>
      </w:r>
    </w:p>
    <w:p w14:paraId="4403176D" w14:textId="57183BD8" w:rsidR="00E35741" w:rsidRDefault="00E35741" w:rsidP="00D162F0">
      <w:pPr>
        <w:jc w:val="both"/>
        <w:rPr>
          <w:szCs w:val="18"/>
        </w:rPr>
      </w:pPr>
      <w:bookmarkStart w:id="1" w:name="_Hlk217036886"/>
      <w:r>
        <w:rPr>
          <w:szCs w:val="18"/>
        </w:rPr>
        <w:t>Det fremgår af høringsudkastet, at t</w:t>
      </w:r>
      <w:r w:rsidRPr="00E35741">
        <w:rPr>
          <w:szCs w:val="18"/>
        </w:rPr>
        <w:t>ilsyn forventes tilrettelagt som målrettet risikobaseret stikprøvekontrol med udgangspunkt i databaser som energimærkningsdatabasen og BBR</w:t>
      </w:r>
      <w:r>
        <w:rPr>
          <w:szCs w:val="18"/>
        </w:rPr>
        <w:t>, jf. s. 29 i høringsudkastet</w:t>
      </w:r>
      <w:r w:rsidRPr="00E35741">
        <w:rPr>
          <w:szCs w:val="18"/>
        </w:rPr>
        <w:t>.</w:t>
      </w:r>
      <w:r>
        <w:rPr>
          <w:szCs w:val="18"/>
        </w:rPr>
        <w:t xml:space="preserve"> </w:t>
      </w:r>
      <w:r w:rsidRPr="00E35741">
        <w:rPr>
          <w:szCs w:val="18"/>
        </w:rPr>
        <w:t>Hvis en ikke-energimærket bygning udtages til kontrol og ejer anfører, at MEPS er opfyldt, kan ejer blive bedt om at få udarbejdet en energimærkningsrapport som dokumentation</w:t>
      </w:r>
      <w:r w:rsidR="00933083">
        <w:rPr>
          <w:szCs w:val="18"/>
        </w:rPr>
        <w:t>, j</w:t>
      </w:r>
      <w:r w:rsidR="006C7965">
        <w:rPr>
          <w:szCs w:val="18"/>
        </w:rPr>
        <w:t>f</w:t>
      </w:r>
      <w:r w:rsidR="00933083">
        <w:rPr>
          <w:szCs w:val="18"/>
        </w:rPr>
        <w:t>.</w:t>
      </w:r>
      <w:r w:rsidR="006C7965">
        <w:rPr>
          <w:szCs w:val="18"/>
        </w:rPr>
        <w:t xml:space="preserve"> s.</w:t>
      </w:r>
      <w:r w:rsidR="00933083">
        <w:rPr>
          <w:szCs w:val="18"/>
        </w:rPr>
        <w:t xml:space="preserve"> 171 i h</w:t>
      </w:r>
      <w:r w:rsidRPr="00E35741">
        <w:rPr>
          <w:szCs w:val="18"/>
        </w:rPr>
        <w:t>øringsudkastet.</w:t>
      </w:r>
      <w:r>
        <w:rPr>
          <w:szCs w:val="18"/>
        </w:rPr>
        <w:t xml:space="preserve"> </w:t>
      </w:r>
      <w:r w:rsidRPr="00E35741">
        <w:rPr>
          <w:szCs w:val="18"/>
        </w:rPr>
        <w:t>Der fremgår samtidig et generelt spor om, at hvis der ikke foreligger gyldig energimærkning ved kontrol, kan ejer blive anmodet om at udarbejde energimærkning som dokumentation</w:t>
      </w:r>
      <w:r w:rsidR="006C7965">
        <w:rPr>
          <w:szCs w:val="18"/>
        </w:rPr>
        <w:t>, jf. s. 111 i h</w:t>
      </w:r>
      <w:r w:rsidRPr="00E35741">
        <w:rPr>
          <w:szCs w:val="18"/>
        </w:rPr>
        <w:t>øringsudkastet</w:t>
      </w:r>
      <w:r w:rsidR="002009A3">
        <w:rPr>
          <w:szCs w:val="18"/>
        </w:rPr>
        <w:t xml:space="preserve">. </w:t>
      </w:r>
    </w:p>
    <w:p w14:paraId="1722DC22" w14:textId="77777777" w:rsidR="002009A3" w:rsidRDefault="002009A3" w:rsidP="00D162F0">
      <w:pPr>
        <w:jc w:val="both"/>
        <w:rPr>
          <w:szCs w:val="18"/>
        </w:rPr>
      </w:pPr>
    </w:p>
    <w:p w14:paraId="3959D582" w14:textId="77777777" w:rsidR="002009A3" w:rsidRPr="00330C8A" w:rsidRDefault="002009A3" w:rsidP="002009A3">
      <w:pPr>
        <w:jc w:val="both"/>
      </w:pPr>
      <w:r w:rsidRPr="00330C8A">
        <w:t xml:space="preserve">Landbruget er kendetegnet ved mange bygninger pr. bedrift og ofte </w:t>
      </w:r>
      <w:r>
        <w:t xml:space="preserve">er der </w:t>
      </w:r>
      <w:r w:rsidRPr="00330C8A">
        <w:t>begrænsede administrative</w:t>
      </w:r>
    </w:p>
    <w:p w14:paraId="4660A967" w14:textId="198E846C" w:rsidR="002009A3" w:rsidRDefault="002009A3" w:rsidP="002009A3">
      <w:pPr>
        <w:jc w:val="both"/>
      </w:pPr>
      <w:r>
        <w:t>r</w:t>
      </w:r>
      <w:r w:rsidRPr="00330C8A">
        <w:t>essourcer</w:t>
      </w:r>
      <w:r>
        <w:t xml:space="preserve"> til rådighed</w:t>
      </w:r>
      <w:r w:rsidRPr="00330C8A">
        <w:t>.</w:t>
      </w:r>
      <w:r>
        <w:t xml:space="preserve"> Landbrug &amp; Fødevarer </w:t>
      </w:r>
      <w:r w:rsidRPr="00330C8A">
        <w:t xml:space="preserve">anbefaler derfor, at administrative krav </w:t>
      </w:r>
      <w:r w:rsidR="00994872">
        <w:t>(fx indberetninger af data fra målere/installationer)</w:t>
      </w:r>
      <w:r w:rsidR="00994872" w:rsidRPr="00330C8A">
        <w:t xml:space="preserve"> </w:t>
      </w:r>
      <w:r w:rsidRPr="00330C8A">
        <w:t>begrænses mest muligt for produktionsbygninger</w:t>
      </w:r>
      <w:r>
        <w:t>. E</w:t>
      </w:r>
      <w:r w:rsidRPr="00330C8A">
        <w:t xml:space="preserve">nergimærkning </w:t>
      </w:r>
      <w:r>
        <w:t xml:space="preserve">bør </w:t>
      </w:r>
      <w:r w:rsidRPr="00330C8A">
        <w:t>ikke gøres til et generelt krav for landbrugsbygninger</w:t>
      </w:r>
      <w:r w:rsidR="006C7965">
        <w:t>.</w:t>
      </w:r>
      <w:r w:rsidRPr="00330C8A">
        <w:t xml:space="preserve"> </w:t>
      </w:r>
    </w:p>
    <w:p w14:paraId="0C81349C" w14:textId="77777777" w:rsidR="006C7965" w:rsidRDefault="006C7965" w:rsidP="002009A3">
      <w:pPr>
        <w:jc w:val="both"/>
      </w:pPr>
    </w:p>
    <w:p w14:paraId="42ECB538" w14:textId="5C4545C2" w:rsidR="00D162F0" w:rsidRPr="00D162F0" w:rsidRDefault="00D162F0" w:rsidP="00D162F0">
      <w:pPr>
        <w:jc w:val="both"/>
        <w:rPr>
          <w:b/>
          <w:bCs/>
        </w:rPr>
      </w:pPr>
      <w:r w:rsidRPr="00D162F0">
        <w:rPr>
          <w:b/>
          <w:bCs/>
        </w:rPr>
        <w:t>Ordning for renoveringspas</w:t>
      </w:r>
    </w:p>
    <w:p w14:paraId="0DF10435" w14:textId="4401485E" w:rsidR="00D162F0" w:rsidRDefault="00D162F0" w:rsidP="00D162F0">
      <w:pPr>
        <w:jc w:val="both"/>
      </w:pPr>
      <w:r w:rsidRPr="00D162F0">
        <w:t xml:space="preserve">Renoveringspas som </w:t>
      </w:r>
      <w:r w:rsidR="008F7E68">
        <w:t>’</w:t>
      </w:r>
      <w:r w:rsidRPr="00D162F0">
        <w:t>køreplan</w:t>
      </w:r>
      <w:r w:rsidR="008F7E68">
        <w:t>’</w:t>
      </w:r>
      <w:r w:rsidRPr="00D162F0">
        <w:t xml:space="preserve"> kan være nyttigt for ejere med </w:t>
      </w:r>
      <w:r w:rsidR="00E05ECF">
        <w:t xml:space="preserve">en </w:t>
      </w:r>
      <w:r w:rsidRPr="00D162F0">
        <w:t>større og kompleks bygningsmasse</w:t>
      </w:r>
      <w:r w:rsidR="00E05ECF">
        <w:t xml:space="preserve">, også i relation til </w:t>
      </w:r>
      <w:r w:rsidRPr="00D162F0">
        <w:t>landbrug</w:t>
      </w:r>
      <w:r w:rsidR="00E05ECF">
        <w:t xml:space="preserve">et, </w:t>
      </w:r>
      <w:r w:rsidRPr="00D162F0">
        <w:t>men effekten afhænger af tilgængelighed, pris og kobling til finansiering</w:t>
      </w:r>
      <w:r w:rsidR="00E05ECF">
        <w:t xml:space="preserve">, jf. s. </w:t>
      </w:r>
      <w:r w:rsidRPr="00D162F0">
        <w:t>63</w:t>
      </w:r>
      <w:r w:rsidR="00B0729E">
        <w:t xml:space="preserve"> i høringsudkastet.</w:t>
      </w:r>
    </w:p>
    <w:p w14:paraId="1D03CFDF" w14:textId="77777777" w:rsidR="002009A3" w:rsidRDefault="002009A3" w:rsidP="00D162F0">
      <w:pPr>
        <w:jc w:val="both"/>
      </w:pPr>
    </w:p>
    <w:p w14:paraId="583717C4" w14:textId="0A07D826" w:rsidR="00D162F0" w:rsidRDefault="002009A3" w:rsidP="00D162F0">
      <w:pPr>
        <w:jc w:val="both"/>
      </w:pPr>
      <w:r>
        <w:t>Landbrug &amp; Fødevarer vurderer, at u</w:t>
      </w:r>
      <w:r w:rsidR="00D162F0" w:rsidRPr="00D162F0">
        <w:t>dformning og standarder bør tage højde for erhvervsbygninger i landdistrikter</w:t>
      </w:r>
      <w:r w:rsidR="008F7E68">
        <w:t>ne</w:t>
      </w:r>
      <w:r w:rsidR="00D162F0" w:rsidRPr="00D162F0">
        <w:t xml:space="preserve"> og for bygninger med driftskrav (hygiejne, ventilation, robusthed), ellers bliver ordningen reelt ikke anvendt i landbruget.</w:t>
      </w:r>
    </w:p>
    <w:p w14:paraId="2593BDF8" w14:textId="77777777" w:rsidR="00D162F0" w:rsidRDefault="00D162F0" w:rsidP="00D162F0">
      <w:pPr>
        <w:jc w:val="both"/>
      </w:pPr>
    </w:p>
    <w:p w14:paraId="773C2FAC" w14:textId="4C1DFB36" w:rsidR="00D162F0" w:rsidRPr="00D162F0" w:rsidRDefault="00D162F0" w:rsidP="00D162F0">
      <w:pPr>
        <w:jc w:val="both"/>
        <w:rPr>
          <w:b/>
          <w:bCs/>
        </w:rPr>
      </w:pPr>
      <w:r w:rsidRPr="00D162F0">
        <w:rPr>
          <w:b/>
          <w:bCs/>
        </w:rPr>
        <w:t>Finansielle incitamenter</w:t>
      </w:r>
    </w:p>
    <w:p w14:paraId="27CC6EDB" w14:textId="7F5648AD" w:rsidR="00D162F0" w:rsidRDefault="00D162F0" w:rsidP="00D162F0">
      <w:pPr>
        <w:jc w:val="both"/>
      </w:pPr>
      <w:r w:rsidRPr="00D162F0">
        <w:t xml:space="preserve">Lovforslaget udvider bemyndigelser til at fastsætte regler om finansielle incitamenter ved implementering af </w:t>
      </w:r>
      <w:r w:rsidR="00530F35" w:rsidRPr="0028729A">
        <w:t>EPBD</w:t>
      </w:r>
      <w:r w:rsidR="00E05ECF">
        <w:t>, jf. s. 77 i h</w:t>
      </w:r>
      <w:r w:rsidRPr="00D162F0">
        <w:t>øringsudkastet.</w:t>
      </w:r>
      <w:r w:rsidR="00E05ECF">
        <w:t xml:space="preserve"> Landbrug &amp; Fødevarer ser gerne, at sådanne i</w:t>
      </w:r>
      <w:r w:rsidRPr="00D162F0">
        <w:t>ncitamenter designes, så de matcher landbrugets investeringshorisonter og likviditetsforhold</w:t>
      </w:r>
      <w:r w:rsidR="007C33EE">
        <w:t xml:space="preserve"> samt også, at </w:t>
      </w:r>
      <w:r w:rsidRPr="00D162F0">
        <w:t>finansieringsbarrierer i landdistrikter</w:t>
      </w:r>
      <w:r w:rsidR="00530F35">
        <w:t>ne</w:t>
      </w:r>
      <w:r w:rsidRPr="00D162F0">
        <w:t xml:space="preserve"> adresseres</w:t>
      </w:r>
      <w:r w:rsidR="007C33EE">
        <w:t>, jf. s. 117 i h</w:t>
      </w:r>
      <w:r w:rsidRPr="00D162F0">
        <w:t>øringsudkastet.</w:t>
      </w:r>
    </w:p>
    <w:p w14:paraId="471D5D9B" w14:textId="77777777" w:rsidR="00D162F0" w:rsidRDefault="00D162F0" w:rsidP="00D162F0">
      <w:pPr>
        <w:jc w:val="both"/>
      </w:pPr>
    </w:p>
    <w:p w14:paraId="091229E3" w14:textId="0D989972" w:rsidR="00D162F0" w:rsidRPr="002F56E5" w:rsidRDefault="00887954" w:rsidP="00D162F0">
      <w:pPr>
        <w:jc w:val="both"/>
        <w:rPr>
          <w:b/>
          <w:bCs/>
        </w:rPr>
      </w:pPr>
      <w:r w:rsidRPr="002F56E5">
        <w:rPr>
          <w:b/>
          <w:bCs/>
        </w:rPr>
        <w:t>Økonomiske og administrative konsekvenser for landbruget</w:t>
      </w:r>
    </w:p>
    <w:p w14:paraId="150BB4CB" w14:textId="2DAB167A" w:rsidR="00887954" w:rsidRDefault="00887954" w:rsidP="00887954">
      <w:pPr>
        <w:jc w:val="both"/>
      </w:pPr>
      <w:r w:rsidRPr="00887954">
        <w:t>Der angives et forventet investeringsbehov for erhvervslivet til planlægning, rådgivning og energieffektivisering, herunder størrelsesordener for 2030 og 2033 samt administrative konsekvenser i</w:t>
      </w:r>
      <w:r>
        <w:t xml:space="preserve"> forbindelse med </w:t>
      </w:r>
      <w:r w:rsidRPr="00887954">
        <w:t>tilsyn</w:t>
      </w:r>
      <w:r>
        <w:t xml:space="preserve"> og </w:t>
      </w:r>
      <w:r w:rsidRPr="00887954">
        <w:t>dispensation</w:t>
      </w:r>
      <w:r>
        <w:t>, jf. s. 111 i h</w:t>
      </w:r>
      <w:r w:rsidRPr="00887954">
        <w:t>øringsudkastet.</w:t>
      </w:r>
    </w:p>
    <w:p w14:paraId="79D41D62" w14:textId="77777777" w:rsidR="00887954" w:rsidRPr="00887954" w:rsidRDefault="00887954" w:rsidP="00887954">
      <w:pPr>
        <w:jc w:val="both"/>
      </w:pPr>
    </w:p>
    <w:p w14:paraId="7084EEFF" w14:textId="6C0C4255" w:rsidR="00763DFD" w:rsidRDefault="00887954" w:rsidP="00F10F98">
      <w:pPr>
        <w:jc w:val="both"/>
      </w:pPr>
      <w:r w:rsidRPr="002F56E5">
        <w:t>Land</w:t>
      </w:r>
      <w:r>
        <w:t>brug &amp; Fødevarer vurderer, at l</w:t>
      </w:r>
      <w:r w:rsidRPr="00887954">
        <w:t xml:space="preserve">andbruget </w:t>
      </w:r>
      <w:r>
        <w:t xml:space="preserve">i væsentlig grad vil kunne </w:t>
      </w:r>
      <w:r w:rsidRPr="00887954">
        <w:t xml:space="preserve">blive ramt i den del af bygningsmassen, der klassificeres som ikke-beboelsesbygninger uden undtagelse. </w:t>
      </w:r>
      <w:r>
        <w:t xml:space="preserve">Det er derfor afgørende vigtigt med en </w:t>
      </w:r>
      <w:r w:rsidRPr="00887954">
        <w:t>korrekt afgrænsning (BBR/undtagelser)</w:t>
      </w:r>
      <w:r>
        <w:t xml:space="preserve"> i relation til </w:t>
      </w:r>
      <w:r w:rsidRPr="00887954">
        <w:t>om byrden bliver proportional</w:t>
      </w:r>
      <w:r>
        <w:t xml:space="preserve">, jf. s. </w:t>
      </w:r>
      <w:r w:rsidRPr="00887954">
        <w:t>23 og s. 143</w:t>
      </w:r>
      <w:r>
        <w:t xml:space="preserve"> i høringsudkastet</w:t>
      </w:r>
      <w:r w:rsidR="00763DFD">
        <w:t xml:space="preserve">. </w:t>
      </w:r>
      <w:r w:rsidRPr="00887954">
        <w:t>Tilsynsmodellen, hvor energimærkning kan blive påkrævet som dokumentation, bør udmøntes med tydelig proces, rimelige frister og omkostningsbevidsthed</w:t>
      </w:r>
      <w:r w:rsidR="00763DFD">
        <w:t>, jf. s.</w:t>
      </w:r>
      <w:r w:rsidRPr="00887954">
        <w:t>111 og s. 171</w:t>
      </w:r>
      <w:r w:rsidR="00763DFD">
        <w:t xml:space="preserve"> i høringsudkastet</w:t>
      </w:r>
      <w:r w:rsidRPr="00887954">
        <w:t>.</w:t>
      </w:r>
      <w:r w:rsidR="00763DFD">
        <w:t xml:space="preserve"> </w:t>
      </w:r>
    </w:p>
    <w:bookmarkEnd w:id="1"/>
    <w:p w14:paraId="02F78D9C" w14:textId="77777777" w:rsidR="00C62E26" w:rsidRDefault="00C62E26" w:rsidP="00BB30A8">
      <w:pPr>
        <w:jc w:val="both"/>
      </w:pPr>
    </w:p>
    <w:p w14:paraId="5A6A1D28" w14:textId="77777777" w:rsidR="00B0729E" w:rsidRDefault="00B0729E" w:rsidP="00BB30A8">
      <w:pPr>
        <w:jc w:val="both"/>
      </w:pPr>
    </w:p>
    <w:p w14:paraId="43672396" w14:textId="2CE30C7E" w:rsidR="00F612B6" w:rsidRPr="00F612B6" w:rsidRDefault="00F612B6" w:rsidP="00F612B6">
      <w:pPr>
        <w:jc w:val="both"/>
        <w:rPr>
          <w:b/>
          <w:bCs/>
        </w:rPr>
      </w:pPr>
      <w:r w:rsidRPr="00F612B6">
        <w:rPr>
          <w:b/>
          <w:bCs/>
        </w:rPr>
        <w:t>Regionale konsekvenser</w:t>
      </w:r>
    </w:p>
    <w:p w14:paraId="62D6D1F2" w14:textId="5983B1C5" w:rsidR="00F612B6" w:rsidRDefault="00F612B6" w:rsidP="00F612B6">
      <w:pPr>
        <w:jc w:val="both"/>
      </w:pPr>
      <w:r w:rsidRPr="00F612B6">
        <w:t>Der vurderes både positive effekter (lokal beskæftigelse) og negative effekter, herunder risiko for ringere adgang til finansiering til renoveringer i landdistrikter pga. lavere ejendomsværdier</w:t>
      </w:r>
      <w:r>
        <w:t xml:space="preserve">. Det er centralt for </w:t>
      </w:r>
      <w:r w:rsidRPr="00F612B6">
        <w:t>landbruget</w:t>
      </w:r>
      <w:r>
        <w:t xml:space="preserve">, at </w:t>
      </w:r>
      <w:r w:rsidRPr="00F612B6">
        <w:t>krav og finansieringsadgang følges ad</w:t>
      </w:r>
      <w:r>
        <w:t>. Hvis ikke det er tilfældet</w:t>
      </w:r>
      <w:r w:rsidRPr="00F612B6">
        <w:t xml:space="preserve"> kan MEPS skabe </w:t>
      </w:r>
      <w:r w:rsidR="00B0729E">
        <w:t xml:space="preserve">en </w:t>
      </w:r>
      <w:r w:rsidRPr="00F612B6">
        <w:t xml:space="preserve">skæv regional belastning. </w:t>
      </w:r>
      <w:r>
        <w:t xml:space="preserve">Landbrug &amp; Fødevarer lægger stor vægt på, at der sikres </w:t>
      </w:r>
      <w:r w:rsidRPr="00F612B6">
        <w:t>virkemidler og finansielle løsninger, som reelt kan anvendes i landdistrikter</w:t>
      </w:r>
      <w:r w:rsidR="00B0729E">
        <w:t>ne</w:t>
      </w:r>
      <w:r w:rsidRPr="00F612B6">
        <w:t>/landbrugserhverv</w:t>
      </w:r>
      <w:r w:rsidR="00B0729E">
        <w:t>et</w:t>
      </w:r>
      <w:r>
        <w:t>, jf. s. 117</w:t>
      </w:r>
      <w:r w:rsidR="00B0729E">
        <w:t xml:space="preserve"> i høringsudkastet</w:t>
      </w:r>
      <w:r>
        <w:t xml:space="preserve">. </w:t>
      </w:r>
      <w:r w:rsidRPr="00F612B6">
        <w:t xml:space="preserve"> </w:t>
      </w:r>
    </w:p>
    <w:p w14:paraId="21D75EEB" w14:textId="77777777" w:rsidR="00F612B6" w:rsidRDefault="00F612B6" w:rsidP="00BB30A8">
      <w:pPr>
        <w:jc w:val="both"/>
      </w:pPr>
    </w:p>
    <w:p w14:paraId="15999D2B" w14:textId="55C6690C" w:rsidR="00BB30A8" w:rsidRDefault="00BB30A8" w:rsidP="00BB30A8">
      <w:pPr>
        <w:jc w:val="both"/>
      </w:pPr>
      <w:r w:rsidRPr="0087467A">
        <w:t xml:space="preserve">Landbrug &amp; Fødevarer vil gerne forbeholde </w:t>
      </w:r>
      <w:r>
        <w:t xml:space="preserve">sig </w:t>
      </w:r>
      <w:r w:rsidRPr="0087467A">
        <w:t>muligheden for at vende tilbage med yderligere kommentarer, hvis vi finder behov for dette. Ønskes ovenstående uddybet er</w:t>
      </w:r>
      <w:r>
        <w:t xml:space="preserve"> </w:t>
      </w:r>
      <w:r w:rsidR="009279D6">
        <w:t>Klima-, Energi- og Forsyningsministeriet</w:t>
      </w:r>
      <w:r>
        <w:t xml:space="preserve"> </w:t>
      </w:r>
      <w:r w:rsidRPr="00C52F25">
        <w:t>velkommen til at rette henvendelse til undertegnede.</w:t>
      </w:r>
    </w:p>
    <w:p w14:paraId="2209E837" w14:textId="5FF84C23" w:rsidR="00330C8A" w:rsidRDefault="00330C8A" w:rsidP="00BB30A8">
      <w:pPr>
        <w:jc w:val="both"/>
      </w:pPr>
    </w:p>
    <w:p w14:paraId="4B4198A8" w14:textId="7C339695" w:rsidR="00BB30A8" w:rsidRDefault="00BB30A8" w:rsidP="00BB30A8">
      <w:pPr>
        <w:jc w:val="both"/>
      </w:pPr>
      <w:r w:rsidRPr="00C65821">
        <w:t>Med venlig hilsen</w:t>
      </w:r>
    </w:p>
    <w:p w14:paraId="2E8A4996" w14:textId="39458004" w:rsidR="00BB30A8" w:rsidRPr="002C03B5" w:rsidRDefault="00BB30A8" w:rsidP="00BB30A8">
      <w:pPr>
        <w:jc w:val="both"/>
      </w:pPr>
    </w:p>
    <w:bookmarkEnd w:id="0"/>
    <w:p w14:paraId="197B09C0" w14:textId="2C5F06B3" w:rsidR="00C95195" w:rsidRPr="009D00FD" w:rsidRDefault="00C95195" w:rsidP="00C95195"/>
    <w:p w14:paraId="2031BCA8" w14:textId="7F9328CF" w:rsidR="00C95195" w:rsidRPr="00C95195" w:rsidRDefault="009279D6" w:rsidP="00C95195">
      <w:pPr>
        <w:pStyle w:val="Normal-AfsenderNavn"/>
        <w:keepNext/>
        <w:rPr>
          <w:sz w:val="18"/>
          <w:szCs w:val="18"/>
        </w:rPr>
      </w:pPr>
      <w:bookmarkStart w:id="2" w:name="SD_USR_Name"/>
      <w:r>
        <w:rPr>
          <w:sz w:val="18"/>
          <w:szCs w:val="18"/>
        </w:rPr>
        <w:t>Finn Christens</w:t>
      </w:r>
      <w:bookmarkEnd w:id="2"/>
      <w:r>
        <w:rPr>
          <w:sz w:val="18"/>
          <w:szCs w:val="18"/>
        </w:rPr>
        <w:t>en</w:t>
      </w:r>
    </w:p>
    <w:p w14:paraId="0086D48C" w14:textId="769F9278" w:rsidR="009279D6" w:rsidRPr="00846D70" w:rsidRDefault="009D291F" w:rsidP="00C95195">
      <w:pPr>
        <w:pStyle w:val="Normal-Afsenderinfo"/>
        <w:keepNext/>
        <w:rPr>
          <w:sz w:val="18"/>
          <w:szCs w:val="18"/>
        </w:rPr>
      </w:pPr>
      <w:bookmarkStart w:id="3" w:name="SD_USR_Department"/>
      <w:bookmarkStart w:id="4" w:name="HIF_SD_USR_Department"/>
      <w:r>
        <w:rPr>
          <w:sz w:val="18"/>
          <w:szCs w:val="18"/>
        </w:rPr>
        <w:t>Analysechef for energi</w:t>
      </w:r>
    </w:p>
    <w:p w14:paraId="4755FF78" w14:textId="77777777" w:rsidR="009279D6" w:rsidRPr="00846D70" w:rsidRDefault="009279D6" w:rsidP="00C95195">
      <w:pPr>
        <w:pStyle w:val="Normal-Afsenderinfo"/>
        <w:keepNext/>
        <w:rPr>
          <w:sz w:val="18"/>
          <w:szCs w:val="18"/>
        </w:rPr>
      </w:pPr>
    </w:p>
    <w:p w14:paraId="104EAE7A" w14:textId="4B407008" w:rsidR="00C95195" w:rsidRPr="005A646A" w:rsidRDefault="00C95195" w:rsidP="00C95195">
      <w:pPr>
        <w:pStyle w:val="Normal-Afsenderinfo"/>
        <w:keepNext/>
        <w:rPr>
          <w:sz w:val="18"/>
          <w:szCs w:val="18"/>
          <w:lang w:val="de-DE"/>
        </w:rPr>
      </w:pPr>
      <w:r w:rsidRPr="005A646A">
        <w:rPr>
          <w:sz w:val="18"/>
          <w:szCs w:val="18"/>
          <w:lang w:val="de-DE"/>
        </w:rPr>
        <w:t>Klima &amp; Energi</w:t>
      </w:r>
      <w:bookmarkEnd w:id="3"/>
    </w:p>
    <w:bookmarkEnd w:id="4"/>
    <w:p w14:paraId="3588474D" w14:textId="6C9A4356" w:rsidR="00C95195" w:rsidRPr="005A646A" w:rsidRDefault="00C95195" w:rsidP="00C95195">
      <w:pPr>
        <w:pStyle w:val="Normal-Afsenderinfo"/>
        <w:keepNext/>
        <w:rPr>
          <w:sz w:val="18"/>
          <w:szCs w:val="18"/>
          <w:lang w:val="de-DE"/>
        </w:rPr>
      </w:pPr>
    </w:p>
    <w:p w14:paraId="48242BAA" w14:textId="3E338954" w:rsidR="00C95195" w:rsidRPr="005A646A" w:rsidRDefault="00C95195" w:rsidP="00C95195">
      <w:pPr>
        <w:pStyle w:val="Normal-Afsenderinfo"/>
        <w:keepNext/>
        <w:rPr>
          <w:sz w:val="18"/>
          <w:szCs w:val="18"/>
          <w:lang w:val="de-DE"/>
        </w:rPr>
      </w:pPr>
      <w:bookmarkStart w:id="5" w:name="SD_LAN_M"/>
      <w:bookmarkStart w:id="6" w:name="HIF_SD_USR_Mobile"/>
      <w:r w:rsidRPr="005A646A">
        <w:rPr>
          <w:sz w:val="18"/>
          <w:szCs w:val="18"/>
          <w:lang w:val="de-DE"/>
        </w:rPr>
        <w:t>M</w:t>
      </w:r>
      <w:bookmarkEnd w:id="5"/>
      <w:r w:rsidRPr="005A646A">
        <w:rPr>
          <w:sz w:val="18"/>
          <w:szCs w:val="18"/>
          <w:lang w:val="de-DE"/>
        </w:rPr>
        <w:tab/>
      </w:r>
      <w:bookmarkStart w:id="7" w:name="SD_USR_Mobile"/>
      <w:r w:rsidRPr="005A646A">
        <w:rPr>
          <w:sz w:val="18"/>
          <w:szCs w:val="18"/>
          <w:lang w:val="de-DE"/>
        </w:rPr>
        <w:t xml:space="preserve">+45 </w:t>
      </w:r>
      <w:r w:rsidR="009279D6">
        <w:rPr>
          <w:sz w:val="18"/>
          <w:szCs w:val="18"/>
          <w:lang w:val="de-DE"/>
        </w:rPr>
        <w:t>2724 5639</w:t>
      </w:r>
      <w:bookmarkEnd w:id="7"/>
    </w:p>
    <w:p w14:paraId="2EABF8AB" w14:textId="3AB71AFA" w:rsidR="00C95195" w:rsidRPr="005A646A" w:rsidRDefault="00C95195" w:rsidP="00C95195">
      <w:pPr>
        <w:pStyle w:val="Normal-Afsenderinfo"/>
        <w:rPr>
          <w:sz w:val="18"/>
          <w:szCs w:val="18"/>
          <w:lang w:val="de-DE"/>
        </w:rPr>
      </w:pPr>
      <w:bookmarkStart w:id="8" w:name="SD_LAN_E"/>
      <w:bookmarkStart w:id="9" w:name="HIF_SD_USR_Email"/>
      <w:bookmarkEnd w:id="6"/>
      <w:r w:rsidRPr="005A646A">
        <w:rPr>
          <w:sz w:val="18"/>
          <w:szCs w:val="18"/>
          <w:lang w:val="de-DE"/>
        </w:rPr>
        <w:t>E</w:t>
      </w:r>
      <w:bookmarkEnd w:id="8"/>
      <w:r w:rsidRPr="005A646A">
        <w:rPr>
          <w:sz w:val="18"/>
          <w:szCs w:val="18"/>
          <w:lang w:val="de-DE"/>
        </w:rPr>
        <w:tab/>
      </w:r>
      <w:bookmarkStart w:id="10" w:name="SD_USR_Email"/>
      <w:bookmarkEnd w:id="9"/>
      <w:r w:rsidR="009279D6">
        <w:rPr>
          <w:sz w:val="18"/>
          <w:szCs w:val="18"/>
          <w:lang w:val="de-DE"/>
        </w:rPr>
        <w:t>fch</w:t>
      </w:r>
      <w:r w:rsidRPr="005A646A">
        <w:rPr>
          <w:sz w:val="18"/>
          <w:szCs w:val="18"/>
          <w:lang w:val="de-DE"/>
        </w:rPr>
        <w:t>@lf.dk</w:t>
      </w:r>
      <w:bookmarkEnd w:id="10"/>
    </w:p>
    <w:p w14:paraId="1BE2371D" w14:textId="67DA3FCA" w:rsidR="00B14A26" w:rsidRPr="005A646A" w:rsidRDefault="00B14A26" w:rsidP="00B14A26">
      <w:pPr>
        <w:spacing w:after="160" w:line="259" w:lineRule="auto"/>
        <w:jc w:val="both"/>
        <w:rPr>
          <w:szCs w:val="18"/>
          <w:lang w:val="de-DE"/>
        </w:rPr>
      </w:pPr>
    </w:p>
    <w:sectPr w:rsidR="00B14A26" w:rsidRPr="005A646A" w:rsidSect="0018390B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2279" w:right="2722" w:bottom="527" w:left="1247" w:header="107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09B4A" w14:textId="77777777" w:rsidR="00B96478" w:rsidRDefault="00B96478" w:rsidP="006E7AA8">
      <w:pPr>
        <w:spacing w:line="240" w:lineRule="auto"/>
      </w:pPr>
      <w:r>
        <w:separator/>
      </w:r>
    </w:p>
  </w:endnote>
  <w:endnote w:type="continuationSeparator" w:id="0">
    <w:p w14:paraId="6F41CD3B" w14:textId="77777777" w:rsidR="00B96478" w:rsidRDefault="00B96478" w:rsidP="006E7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25F9D" w14:textId="77777777" w:rsidR="0018390B" w:rsidRDefault="0018390B">
    <w:pPr>
      <w:pStyle w:val="Sidefod"/>
    </w:pPr>
    <w:bookmarkStart w:id="13" w:name="bmkFilename02"/>
    <w:r>
      <w:t xml:space="preserve"> </w:t>
    </w:r>
    <w:bookmarkEnd w:id="1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C85C3" w14:textId="77777777" w:rsidR="0018390B" w:rsidRDefault="0018390B">
    <w:pPr>
      <w:pStyle w:val="Sidefod"/>
    </w:pPr>
    <w:bookmarkStart w:id="21" w:name="bmkFilename"/>
    <w:r>
      <w:t xml:space="preserve"> </w:t>
    </w:r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E2D45" w14:textId="77777777" w:rsidR="00B96478" w:rsidRDefault="00B96478" w:rsidP="006E7AA8">
      <w:pPr>
        <w:spacing w:line="240" w:lineRule="auto"/>
      </w:pPr>
      <w:r>
        <w:separator/>
      </w:r>
    </w:p>
  </w:footnote>
  <w:footnote w:type="continuationSeparator" w:id="0">
    <w:p w14:paraId="01696657" w14:textId="77777777" w:rsidR="00B96478" w:rsidRDefault="00B96478" w:rsidP="006E7A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0E6F" w14:textId="77777777" w:rsidR="0018390B" w:rsidRDefault="0018390B" w:rsidP="005F0AD0">
    <w:pPr>
      <w:pStyle w:val="Template-DatoogRef"/>
      <w:rPr>
        <w:rStyle w:val="Sidetal"/>
      </w:rPr>
    </w:pPr>
    <w:bookmarkStart w:id="11" w:name="SD_LAN_Page_N1"/>
    <w:r>
      <w:t>Side</w:t>
    </w:r>
    <w:bookmarkEnd w:id="11"/>
    <w:r>
      <w:rPr>
        <w:rStyle w:val="Sidetal"/>
      </w:rPr>
      <w:t xml:space="preserve">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</w:rPr>
      <w:t>2</w:t>
    </w:r>
    <w:r>
      <w:rPr>
        <w:rStyle w:val="Sidetal"/>
      </w:rPr>
      <w:fldChar w:fldCharType="end"/>
    </w:r>
    <w:r>
      <w:rPr>
        <w:rStyle w:val="Sidetal"/>
      </w:rPr>
      <w:t xml:space="preserve"> </w:t>
    </w:r>
    <w:bookmarkStart w:id="12" w:name="SD_LAN_Of_N1"/>
    <w:r>
      <w:t>af</w:t>
    </w:r>
    <w:bookmarkEnd w:id="12"/>
    <w:r>
      <w:rPr>
        <w:rStyle w:val="Sidetal"/>
      </w:rPr>
      <w:t xml:space="preserve"> </w:t>
    </w:r>
    <w:r>
      <w:rPr>
        <w:rStyle w:val="Sidetal"/>
        <w:noProof w:val="0"/>
      </w:rPr>
      <w:fldChar w:fldCharType="begin"/>
    </w:r>
    <w:r>
      <w:rPr>
        <w:rStyle w:val="Sidetal"/>
        <w:noProof w:val="0"/>
      </w:rPr>
      <w:instrText xml:space="preserve"> NUMPAGES </w:instrText>
    </w:r>
    <w:r>
      <w:rPr>
        <w:rStyle w:val="Sidetal"/>
        <w:noProof w:val="0"/>
      </w:rPr>
      <w:fldChar w:fldCharType="separate"/>
    </w:r>
    <w:r>
      <w:rPr>
        <w:rStyle w:val="Sidetal"/>
      </w:rPr>
      <w:t>1</w:t>
    </w:r>
    <w:r>
      <w:rPr>
        <w:rStyle w:val="Sidetal"/>
        <w:noProof w:val="0"/>
      </w:rPr>
      <w:fldChar w:fldCharType="end"/>
    </w:r>
  </w:p>
  <w:p w14:paraId="5E868413" w14:textId="77777777" w:rsidR="0018390B" w:rsidRPr="0098048A" w:rsidRDefault="0018390B" w:rsidP="005F0AD0">
    <w:pPr>
      <w:pStyle w:val="Template-DatoogRef"/>
    </w:pPr>
    <w:r>
      <w:drawing>
        <wp:anchor distT="0" distB="0" distL="114300" distR="114300" simplePos="0" relativeHeight="251656192" behindDoc="0" locked="0" layoutInCell="1" allowOverlap="1" wp14:anchorId="4B068E68" wp14:editId="5592004D">
          <wp:simplePos x="0" y="0"/>
          <wp:positionH relativeFrom="page">
            <wp:posOffset>5957570</wp:posOffset>
          </wp:positionH>
          <wp:positionV relativeFrom="page">
            <wp:posOffset>647700</wp:posOffset>
          </wp:positionV>
          <wp:extent cx="1259840" cy="1256665"/>
          <wp:effectExtent l="0" t="0" r="0" b="0"/>
          <wp:wrapNone/>
          <wp:docPr id="2" name="LogoHide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Hide_HIDE_1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256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514F" w14:textId="77777777" w:rsidR="0018390B" w:rsidRPr="00C65821" w:rsidRDefault="0018390B" w:rsidP="00B10951">
    <w:pPr>
      <w:pStyle w:val="Template-DatoogRef"/>
      <w:tabs>
        <w:tab w:val="clear" w:pos="454"/>
        <w:tab w:val="left" w:pos="540"/>
      </w:tabs>
      <w:rPr>
        <w:vanish/>
      </w:rPr>
    </w:pPr>
    <w:bookmarkStart w:id="14" w:name="SD_LAN_Ref"/>
    <w:bookmarkStart w:id="15" w:name="HIF_SD_FLD_Ref"/>
    <w:r w:rsidRPr="00C65821">
      <w:rPr>
        <w:vanish/>
      </w:rPr>
      <w:t>Ref</w:t>
    </w:r>
    <w:bookmarkEnd w:id="14"/>
    <w:r w:rsidRPr="00C65821">
      <w:rPr>
        <w:vanish/>
      </w:rPr>
      <w:tab/>
    </w:r>
    <w:bookmarkStart w:id="16" w:name="SD_FLD_Ref"/>
    <w:bookmarkEnd w:id="16"/>
  </w:p>
  <w:p w14:paraId="5192234F" w14:textId="4B288EF5" w:rsidR="0018390B" w:rsidRPr="00C65821" w:rsidRDefault="0018390B" w:rsidP="00B10951">
    <w:pPr>
      <w:pStyle w:val="Template-DatoogRef"/>
      <w:tabs>
        <w:tab w:val="clear" w:pos="454"/>
        <w:tab w:val="left" w:pos="540"/>
      </w:tabs>
    </w:pPr>
    <w:bookmarkStart w:id="17" w:name="SD_LAN_Date"/>
    <w:bookmarkStart w:id="18" w:name="HIF_SD_FLD_DocumentDate"/>
    <w:bookmarkEnd w:id="15"/>
    <w:r w:rsidRPr="00C65821">
      <w:t>Dato</w:t>
    </w:r>
    <w:bookmarkEnd w:id="17"/>
    <w:r w:rsidRPr="00C65821">
      <w:tab/>
    </w:r>
    <w:r w:rsidR="001D7F3A">
      <w:t>1</w:t>
    </w:r>
    <w:r w:rsidR="009279D6">
      <w:t>3</w:t>
    </w:r>
    <w:r>
      <w:t xml:space="preserve">. </w:t>
    </w:r>
    <w:r w:rsidR="009279D6">
      <w:t>januar</w:t>
    </w:r>
    <w:r>
      <w:t xml:space="preserve"> 202</w:t>
    </w:r>
    <w:r w:rsidR="009279D6">
      <w:t>6</w:t>
    </w:r>
  </w:p>
  <w:p w14:paraId="6E615ED8" w14:textId="77777777" w:rsidR="0018390B" w:rsidRDefault="0018390B" w:rsidP="00B10951">
    <w:pPr>
      <w:pStyle w:val="Template-DatoogRef"/>
      <w:tabs>
        <w:tab w:val="clear" w:pos="454"/>
        <w:tab w:val="left" w:pos="540"/>
      </w:tabs>
      <w:rPr>
        <w:rStyle w:val="Sidetal"/>
      </w:rPr>
    </w:pPr>
    <w:bookmarkStart w:id="19" w:name="SD_LAN_Page"/>
    <w:bookmarkEnd w:id="18"/>
    <w:r>
      <w:t>Side</w:t>
    </w:r>
    <w:bookmarkEnd w:id="19"/>
    <w:r>
      <w:tab/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</w:rPr>
      <w:t>1</w:t>
    </w:r>
    <w:r>
      <w:rPr>
        <w:rStyle w:val="Sidetal"/>
      </w:rPr>
      <w:fldChar w:fldCharType="end"/>
    </w:r>
    <w:r>
      <w:rPr>
        <w:rStyle w:val="Sidetal"/>
      </w:rPr>
      <w:t xml:space="preserve"> </w:t>
    </w:r>
    <w:bookmarkStart w:id="20" w:name="SD_LAN_Of"/>
    <w:r>
      <w:rPr>
        <w:rStyle w:val="Sidetal"/>
      </w:rPr>
      <w:t>af</w:t>
    </w:r>
    <w:bookmarkEnd w:id="20"/>
    <w:r>
      <w:rPr>
        <w:rStyle w:val="Sidetal"/>
      </w:rPr>
      <w:t xml:space="preserve"> </w:t>
    </w:r>
    <w:r>
      <w:rPr>
        <w:rStyle w:val="Sidetal"/>
        <w:noProof w:val="0"/>
      </w:rPr>
      <w:fldChar w:fldCharType="begin"/>
    </w:r>
    <w:r>
      <w:rPr>
        <w:rStyle w:val="Sidetal"/>
        <w:noProof w:val="0"/>
      </w:rPr>
      <w:instrText xml:space="preserve"> NUMPAGES </w:instrText>
    </w:r>
    <w:r>
      <w:rPr>
        <w:rStyle w:val="Sidetal"/>
        <w:noProof w:val="0"/>
      </w:rPr>
      <w:fldChar w:fldCharType="separate"/>
    </w:r>
    <w:r>
      <w:rPr>
        <w:rStyle w:val="Sidetal"/>
      </w:rPr>
      <w:t>1</w:t>
    </w:r>
    <w:r>
      <w:rPr>
        <w:rStyle w:val="Sidetal"/>
        <w:noProof w:val="0"/>
      </w:rPr>
      <w:fldChar w:fldCharType="end"/>
    </w:r>
  </w:p>
  <w:p w14:paraId="288079CF" w14:textId="77777777" w:rsidR="0018390B" w:rsidRDefault="0018390B" w:rsidP="00B46C1D">
    <w:pPr>
      <w:pStyle w:val="Template-DatoogRef"/>
    </w:pPr>
    <w:r>
      <w:drawing>
        <wp:anchor distT="0" distB="0" distL="114300" distR="114300" simplePos="0" relativeHeight="251657216" behindDoc="0" locked="0" layoutInCell="1" allowOverlap="1" wp14:anchorId="67277984" wp14:editId="706D9956">
          <wp:simplePos x="0" y="0"/>
          <wp:positionH relativeFrom="page">
            <wp:posOffset>6015355</wp:posOffset>
          </wp:positionH>
          <wp:positionV relativeFrom="page">
            <wp:posOffset>8959850</wp:posOffset>
          </wp:positionV>
          <wp:extent cx="1439545" cy="1688465"/>
          <wp:effectExtent l="0" t="0" r="8255" b="6985"/>
          <wp:wrapNone/>
          <wp:docPr id="4" name="Pligttekst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igttekst_1_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168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58240" behindDoc="0" locked="0" layoutInCell="1" allowOverlap="1" wp14:anchorId="37A07706" wp14:editId="2202E18C">
          <wp:simplePos x="0" y="0"/>
          <wp:positionH relativeFrom="page">
            <wp:posOffset>6022340</wp:posOffset>
          </wp:positionH>
          <wp:positionV relativeFrom="page">
            <wp:posOffset>1511935</wp:posOffset>
          </wp:positionV>
          <wp:extent cx="1297940" cy="2200275"/>
          <wp:effectExtent l="0" t="0" r="0" b="0"/>
          <wp:wrapNone/>
          <wp:docPr id="3" name="AddressHide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dressHide_HIDE_1_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940" cy="2200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 wp14:anchorId="63936C75" wp14:editId="29B4B1FA">
          <wp:simplePos x="0" y="0"/>
          <wp:positionH relativeFrom="page">
            <wp:posOffset>5957570</wp:posOffset>
          </wp:positionH>
          <wp:positionV relativeFrom="page">
            <wp:posOffset>647700</wp:posOffset>
          </wp:positionV>
          <wp:extent cx="1259840" cy="1256665"/>
          <wp:effectExtent l="0" t="0" r="0" b="0"/>
          <wp:wrapNone/>
          <wp:docPr id="1" name="LogoHide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Hide_HIDE_1_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256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32566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411364"/>
    <w:multiLevelType w:val="multilevel"/>
    <w:tmpl w:val="46A2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117FF"/>
    <w:multiLevelType w:val="hybridMultilevel"/>
    <w:tmpl w:val="0BE0F1F8"/>
    <w:lvl w:ilvl="0" w:tplc="8E3C322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D4959"/>
    <w:multiLevelType w:val="hybridMultilevel"/>
    <w:tmpl w:val="5DBA36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54B99"/>
    <w:multiLevelType w:val="hybridMultilevel"/>
    <w:tmpl w:val="209C58A8"/>
    <w:lvl w:ilvl="0" w:tplc="7E2002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93474"/>
    <w:multiLevelType w:val="multilevel"/>
    <w:tmpl w:val="1A687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9A507E"/>
    <w:multiLevelType w:val="multilevel"/>
    <w:tmpl w:val="6526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807C5B"/>
    <w:multiLevelType w:val="hybridMultilevel"/>
    <w:tmpl w:val="DCFEB350"/>
    <w:lvl w:ilvl="0" w:tplc="AC26AE28">
      <w:start w:val="1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53846"/>
    <w:multiLevelType w:val="hybridMultilevel"/>
    <w:tmpl w:val="6E2C029E"/>
    <w:lvl w:ilvl="0" w:tplc="AAFAB4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73EC0"/>
    <w:multiLevelType w:val="hybridMultilevel"/>
    <w:tmpl w:val="1488E20E"/>
    <w:lvl w:ilvl="0" w:tplc="D4520C2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17563"/>
    <w:multiLevelType w:val="multilevel"/>
    <w:tmpl w:val="6D52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4E0B42"/>
    <w:multiLevelType w:val="hybridMultilevel"/>
    <w:tmpl w:val="A70E6BCA"/>
    <w:lvl w:ilvl="0" w:tplc="F89034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60805"/>
    <w:multiLevelType w:val="multilevel"/>
    <w:tmpl w:val="D43C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3218575">
    <w:abstractNumId w:val="0"/>
  </w:num>
  <w:num w:numId="2" w16cid:durableId="584917583">
    <w:abstractNumId w:val="11"/>
  </w:num>
  <w:num w:numId="3" w16cid:durableId="766925674">
    <w:abstractNumId w:val="4"/>
  </w:num>
  <w:num w:numId="4" w16cid:durableId="922102229">
    <w:abstractNumId w:val="12"/>
  </w:num>
  <w:num w:numId="5" w16cid:durableId="1508667544">
    <w:abstractNumId w:val="7"/>
  </w:num>
  <w:num w:numId="6" w16cid:durableId="1258715698">
    <w:abstractNumId w:val="3"/>
  </w:num>
  <w:num w:numId="7" w16cid:durableId="1513104077">
    <w:abstractNumId w:val="2"/>
  </w:num>
  <w:num w:numId="8" w16cid:durableId="1400667096">
    <w:abstractNumId w:val="8"/>
  </w:num>
  <w:num w:numId="9" w16cid:durableId="1224758252">
    <w:abstractNumId w:val="10"/>
  </w:num>
  <w:num w:numId="10" w16cid:durableId="147240214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8576495">
    <w:abstractNumId w:val="6"/>
  </w:num>
  <w:num w:numId="12" w16cid:durableId="1179587301">
    <w:abstractNumId w:val="1"/>
  </w:num>
  <w:num w:numId="13" w16cid:durableId="10591337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0B"/>
    <w:rsid w:val="00000511"/>
    <w:rsid w:val="00000623"/>
    <w:rsid w:val="00002BF1"/>
    <w:rsid w:val="00037554"/>
    <w:rsid w:val="00042616"/>
    <w:rsid w:val="0004778C"/>
    <w:rsid w:val="0005296D"/>
    <w:rsid w:val="00054220"/>
    <w:rsid w:val="00054E79"/>
    <w:rsid w:val="00075281"/>
    <w:rsid w:val="000942C8"/>
    <w:rsid w:val="000A4242"/>
    <w:rsid w:val="000C49ED"/>
    <w:rsid w:val="000D6BDC"/>
    <w:rsid w:val="000D7752"/>
    <w:rsid w:val="000F0606"/>
    <w:rsid w:val="00100724"/>
    <w:rsid w:val="0011181E"/>
    <w:rsid w:val="001204D4"/>
    <w:rsid w:val="001209B7"/>
    <w:rsid w:val="0012692D"/>
    <w:rsid w:val="00134216"/>
    <w:rsid w:val="001528A8"/>
    <w:rsid w:val="00154D39"/>
    <w:rsid w:val="00161E38"/>
    <w:rsid w:val="00166B92"/>
    <w:rsid w:val="00175860"/>
    <w:rsid w:val="0018390B"/>
    <w:rsid w:val="001943B3"/>
    <w:rsid w:val="001A33DB"/>
    <w:rsid w:val="001A4089"/>
    <w:rsid w:val="001A539E"/>
    <w:rsid w:val="001B096C"/>
    <w:rsid w:val="001B3494"/>
    <w:rsid w:val="001C3540"/>
    <w:rsid w:val="001C38D9"/>
    <w:rsid w:val="001C7F89"/>
    <w:rsid w:val="001D0970"/>
    <w:rsid w:val="001D6C3B"/>
    <w:rsid w:val="001D7EFB"/>
    <w:rsid w:val="001D7F3A"/>
    <w:rsid w:val="001E204E"/>
    <w:rsid w:val="001E3B00"/>
    <w:rsid w:val="002009A3"/>
    <w:rsid w:val="0020614D"/>
    <w:rsid w:val="00230594"/>
    <w:rsid w:val="00244F94"/>
    <w:rsid w:val="0024579D"/>
    <w:rsid w:val="00256BB5"/>
    <w:rsid w:val="0028729A"/>
    <w:rsid w:val="00296F51"/>
    <w:rsid w:val="00297369"/>
    <w:rsid w:val="002A6E79"/>
    <w:rsid w:val="002A7400"/>
    <w:rsid w:val="002B7632"/>
    <w:rsid w:val="002C2507"/>
    <w:rsid w:val="002D5208"/>
    <w:rsid w:val="002E6E1E"/>
    <w:rsid w:val="002F2E70"/>
    <w:rsid w:val="002F40D0"/>
    <w:rsid w:val="002F56E5"/>
    <w:rsid w:val="00307727"/>
    <w:rsid w:val="00316C3A"/>
    <w:rsid w:val="00330C8A"/>
    <w:rsid w:val="003348DE"/>
    <w:rsid w:val="00362D30"/>
    <w:rsid w:val="003736F9"/>
    <w:rsid w:val="00376A3D"/>
    <w:rsid w:val="00384E7F"/>
    <w:rsid w:val="003912DC"/>
    <w:rsid w:val="003B4B34"/>
    <w:rsid w:val="003C4B2C"/>
    <w:rsid w:val="003C4BF1"/>
    <w:rsid w:val="003C5C8C"/>
    <w:rsid w:val="003D0820"/>
    <w:rsid w:val="003D1FB7"/>
    <w:rsid w:val="003D4385"/>
    <w:rsid w:val="003E2510"/>
    <w:rsid w:val="003E4D1E"/>
    <w:rsid w:val="003F1AC9"/>
    <w:rsid w:val="004204F1"/>
    <w:rsid w:val="00425F8C"/>
    <w:rsid w:val="00427D28"/>
    <w:rsid w:val="00430701"/>
    <w:rsid w:val="00433600"/>
    <w:rsid w:val="004372A5"/>
    <w:rsid w:val="0043790D"/>
    <w:rsid w:val="004417A0"/>
    <w:rsid w:val="00443804"/>
    <w:rsid w:val="0044425F"/>
    <w:rsid w:val="004448EF"/>
    <w:rsid w:val="00481EF1"/>
    <w:rsid w:val="004839BF"/>
    <w:rsid w:val="00490E8F"/>
    <w:rsid w:val="004C76F3"/>
    <w:rsid w:val="004D0AEE"/>
    <w:rsid w:val="004F2FEE"/>
    <w:rsid w:val="004F6807"/>
    <w:rsid w:val="00504DAA"/>
    <w:rsid w:val="00515880"/>
    <w:rsid w:val="00530F35"/>
    <w:rsid w:val="00554243"/>
    <w:rsid w:val="00564112"/>
    <w:rsid w:val="005659CD"/>
    <w:rsid w:val="00566EC7"/>
    <w:rsid w:val="005805D8"/>
    <w:rsid w:val="00587304"/>
    <w:rsid w:val="0059156C"/>
    <w:rsid w:val="005920BC"/>
    <w:rsid w:val="00593476"/>
    <w:rsid w:val="005935F6"/>
    <w:rsid w:val="0059661A"/>
    <w:rsid w:val="005A646A"/>
    <w:rsid w:val="005B058B"/>
    <w:rsid w:val="005B6857"/>
    <w:rsid w:val="005C3CE8"/>
    <w:rsid w:val="005D464B"/>
    <w:rsid w:val="005E09B6"/>
    <w:rsid w:val="005E122A"/>
    <w:rsid w:val="005F4E29"/>
    <w:rsid w:val="0061541B"/>
    <w:rsid w:val="00625860"/>
    <w:rsid w:val="00640FF4"/>
    <w:rsid w:val="00642E0E"/>
    <w:rsid w:val="00645614"/>
    <w:rsid w:val="00650D5F"/>
    <w:rsid w:val="00653F7D"/>
    <w:rsid w:val="0069375B"/>
    <w:rsid w:val="006B778D"/>
    <w:rsid w:val="006C7965"/>
    <w:rsid w:val="006E7AA8"/>
    <w:rsid w:val="006F4DB7"/>
    <w:rsid w:val="00702643"/>
    <w:rsid w:val="007036CB"/>
    <w:rsid w:val="00707EA9"/>
    <w:rsid w:val="007244C2"/>
    <w:rsid w:val="007300C2"/>
    <w:rsid w:val="00740516"/>
    <w:rsid w:val="007464A5"/>
    <w:rsid w:val="00763DFD"/>
    <w:rsid w:val="0077419A"/>
    <w:rsid w:val="00775745"/>
    <w:rsid w:val="00786702"/>
    <w:rsid w:val="00787E58"/>
    <w:rsid w:val="007943E5"/>
    <w:rsid w:val="00797967"/>
    <w:rsid w:val="007A024C"/>
    <w:rsid w:val="007A190F"/>
    <w:rsid w:val="007A3C73"/>
    <w:rsid w:val="007A5204"/>
    <w:rsid w:val="007A5B48"/>
    <w:rsid w:val="007B15D9"/>
    <w:rsid w:val="007C218A"/>
    <w:rsid w:val="007C33EE"/>
    <w:rsid w:val="007C464D"/>
    <w:rsid w:val="007C5B31"/>
    <w:rsid w:val="007D10CF"/>
    <w:rsid w:val="007D72CD"/>
    <w:rsid w:val="007E12E4"/>
    <w:rsid w:val="007E2730"/>
    <w:rsid w:val="007F17E6"/>
    <w:rsid w:val="00805213"/>
    <w:rsid w:val="00806899"/>
    <w:rsid w:val="008258BF"/>
    <w:rsid w:val="00846D70"/>
    <w:rsid w:val="008521A6"/>
    <w:rsid w:val="00855541"/>
    <w:rsid w:val="00862B34"/>
    <w:rsid w:val="00862DAF"/>
    <w:rsid w:val="00865057"/>
    <w:rsid w:val="008677C0"/>
    <w:rsid w:val="008722A4"/>
    <w:rsid w:val="00875BF1"/>
    <w:rsid w:val="008832C4"/>
    <w:rsid w:val="0088427E"/>
    <w:rsid w:val="008859E5"/>
    <w:rsid w:val="00886201"/>
    <w:rsid w:val="00887954"/>
    <w:rsid w:val="008B2702"/>
    <w:rsid w:val="008B2C72"/>
    <w:rsid w:val="008C369F"/>
    <w:rsid w:val="008C676B"/>
    <w:rsid w:val="008D5772"/>
    <w:rsid w:val="008E6C8A"/>
    <w:rsid w:val="008F6F36"/>
    <w:rsid w:val="008F7E68"/>
    <w:rsid w:val="00906717"/>
    <w:rsid w:val="00912B54"/>
    <w:rsid w:val="0091743C"/>
    <w:rsid w:val="009279D6"/>
    <w:rsid w:val="00933083"/>
    <w:rsid w:val="009335F7"/>
    <w:rsid w:val="0093626C"/>
    <w:rsid w:val="009437B7"/>
    <w:rsid w:val="00964DA2"/>
    <w:rsid w:val="009708A4"/>
    <w:rsid w:val="00973A74"/>
    <w:rsid w:val="009764CC"/>
    <w:rsid w:val="00983897"/>
    <w:rsid w:val="00987A81"/>
    <w:rsid w:val="009905A5"/>
    <w:rsid w:val="00994872"/>
    <w:rsid w:val="00995C05"/>
    <w:rsid w:val="009C1948"/>
    <w:rsid w:val="009D291F"/>
    <w:rsid w:val="009D3B57"/>
    <w:rsid w:val="009D3C20"/>
    <w:rsid w:val="009F5486"/>
    <w:rsid w:val="00A11177"/>
    <w:rsid w:val="00A1212A"/>
    <w:rsid w:val="00A14563"/>
    <w:rsid w:val="00A25DC0"/>
    <w:rsid w:val="00A26F43"/>
    <w:rsid w:val="00A36745"/>
    <w:rsid w:val="00A4440A"/>
    <w:rsid w:val="00A47A97"/>
    <w:rsid w:val="00A56E33"/>
    <w:rsid w:val="00A604B7"/>
    <w:rsid w:val="00A61D58"/>
    <w:rsid w:val="00A64C13"/>
    <w:rsid w:val="00A7223F"/>
    <w:rsid w:val="00A85BFD"/>
    <w:rsid w:val="00A94DD8"/>
    <w:rsid w:val="00A968D2"/>
    <w:rsid w:val="00AA049E"/>
    <w:rsid w:val="00AD5EEB"/>
    <w:rsid w:val="00AE10C3"/>
    <w:rsid w:val="00AE1CF8"/>
    <w:rsid w:val="00AE5122"/>
    <w:rsid w:val="00AF7F09"/>
    <w:rsid w:val="00B03FE8"/>
    <w:rsid w:val="00B0729E"/>
    <w:rsid w:val="00B11F63"/>
    <w:rsid w:val="00B14A26"/>
    <w:rsid w:val="00B17023"/>
    <w:rsid w:val="00B202DB"/>
    <w:rsid w:val="00B26847"/>
    <w:rsid w:val="00B35F0C"/>
    <w:rsid w:val="00B66F91"/>
    <w:rsid w:val="00B73629"/>
    <w:rsid w:val="00B74DC7"/>
    <w:rsid w:val="00B84577"/>
    <w:rsid w:val="00B93638"/>
    <w:rsid w:val="00B96433"/>
    <w:rsid w:val="00B96478"/>
    <w:rsid w:val="00BA7B5C"/>
    <w:rsid w:val="00BB30A8"/>
    <w:rsid w:val="00BD21FA"/>
    <w:rsid w:val="00BD2BE1"/>
    <w:rsid w:val="00BD6002"/>
    <w:rsid w:val="00BE0BA8"/>
    <w:rsid w:val="00C0180D"/>
    <w:rsid w:val="00C10490"/>
    <w:rsid w:val="00C11F3F"/>
    <w:rsid w:val="00C25E2D"/>
    <w:rsid w:val="00C30488"/>
    <w:rsid w:val="00C32054"/>
    <w:rsid w:val="00C3603D"/>
    <w:rsid w:val="00C4426C"/>
    <w:rsid w:val="00C6278D"/>
    <w:rsid w:val="00C62E26"/>
    <w:rsid w:val="00C707DC"/>
    <w:rsid w:val="00C769D1"/>
    <w:rsid w:val="00C774E0"/>
    <w:rsid w:val="00C82464"/>
    <w:rsid w:val="00C83428"/>
    <w:rsid w:val="00C914A5"/>
    <w:rsid w:val="00C95195"/>
    <w:rsid w:val="00C96AB7"/>
    <w:rsid w:val="00CA3438"/>
    <w:rsid w:val="00CA7863"/>
    <w:rsid w:val="00CB4BA0"/>
    <w:rsid w:val="00CD0330"/>
    <w:rsid w:val="00CE30A2"/>
    <w:rsid w:val="00CF235E"/>
    <w:rsid w:val="00D109C1"/>
    <w:rsid w:val="00D162F0"/>
    <w:rsid w:val="00D32E4F"/>
    <w:rsid w:val="00D435C6"/>
    <w:rsid w:val="00D50197"/>
    <w:rsid w:val="00D5436D"/>
    <w:rsid w:val="00D61F82"/>
    <w:rsid w:val="00D6336A"/>
    <w:rsid w:val="00D71934"/>
    <w:rsid w:val="00D773CE"/>
    <w:rsid w:val="00D90091"/>
    <w:rsid w:val="00DA7520"/>
    <w:rsid w:val="00DB38E2"/>
    <w:rsid w:val="00DB5AEB"/>
    <w:rsid w:val="00DC02DF"/>
    <w:rsid w:val="00DC0FB0"/>
    <w:rsid w:val="00DC275D"/>
    <w:rsid w:val="00DE714F"/>
    <w:rsid w:val="00DF4F79"/>
    <w:rsid w:val="00E01866"/>
    <w:rsid w:val="00E05ECF"/>
    <w:rsid w:val="00E12287"/>
    <w:rsid w:val="00E167FC"/>
    <w:rsid w:val="00E259DD"/>
    <w:rsid w:val="00E32944"/>
    <w:rsid w:val="00E3571D"/>
    <w:rsid w:val="00E35741"/>
    <w:rsid w:val="00E40CED"/>
    <w:rsid w:val="00E43016"/>
    <w:rsid w:val="00E45A2B"/>
    <w:rsid w:val="00E50B98"/>
    <w:rsid w:val="00E55526"/>
    <w:rsid w:val="00E6539D"/>
    <w:rsid w:val="00E7547C"/>
    <w:rsid w:val="00E829BD"/>
    <w:rsid w:val="00E83358"/>
    <w:rsid w:val="00E94550"/>
    <w:rsid w:val="00EB1F56"/>
    <w:rsid w:val="00EB2078"/>
    <w:rsid w:val="00EC0CDE"/>
    <w:rsid w:val="00EC394F"/>
    <w:rsid w:val="00EC41F8"/>
    <w:rsid w:val="00ED0582"/>
    <w:rsid w:val="00ED282C"/>
    <w:rsid w:val="00EF299A"/>
    <w:rsid w:val="00EF4577"/>
    <w:rsid w:val="00F03329"/>
    <w:rsid w:val="00F07F59"/>
    <w:rsid w:val="00F10F98"/>
    <w:rsid w:val="00F11B82"/>
    <w:rsid w:val="00F13C25"/>
    <w:rsid w:val="00F23B7A"/>
    <w:rsid w:val="00F245FC"/>
    <w:rsid w:val="00F3656B"/>
    <w:rsid w:val="00F43CCF"/>
    <w:rsid w:val="00F518B0"/>
    <w:rsid w:val="00F54F57"/>
    <w:rsid w:val="00F612B6"/>
    <w:rsid w:val="00F65404"/>
    <w:rsid w:val="00F74A25"/>
    <w:rsid w:val="00F815AD"/>
    <w:rsid w:val="00FA5E03"/>
    <w:rsid w:val="00FB462E"/>
    <w:rsid w:val="00FD4968"/>
    <w:rsid w:val="00FD7066"/>
    <w:rsid w:val="00FF0292"/>
    <w:rsid w:val="00FF3084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0D31"/>
  <w15:chartTrackingRefBased/>
  <w15:docId w15:val="{635596C0-C0F6-4F8C-9451-42B3C716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90B"/>
    <w:pPr>
      <w:spacing w:after="0" w:line="280" w:lineRule="atLeast"/>
    </w:pPr>
    <w:rPr>
      <w:rFonts w:ascii="Arial" w:eastAsia="Times New Roman" w:hAnsi="Arial" w:cs="Times New Roman"/>
      <w:kern w:val="0"/>
      <w:sz w:val="18"/>
      <w:szCs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839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A5F69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839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A5F69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8390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A5F69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8390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A5F69" w:themeColor="accent1" w:themeShade="BF"/>
      <w:kern w:val="2"/>
      <w:sz w:val="22"/>
      <w:szCs w:val="2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8390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A5F69" w:themeColor="accent1" w:themeShade="BF"/>
      <w:kern w:val="2"/>
      <w:sz w:val="22"/>
      <w:szCs w:val="2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8390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696969" w:themeColor="text1" w:themeTint="A6"/>
      <w:kern w:val="2"/>
      <w:sz w:val="22"/>
      <w:szCs w:val="2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8390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696969" w:themeColor="text1" w:themeTint="A6"/>
      <w:kern w:val="2"/>
      <w:sz w:val="22"/>
      <w:szCs w:val="2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8390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3C3C3C" w:themeColor="text1" w:themeTint="D8"/>
      <w:kern w:val="2"/>
      <w:sz w:val="22"/>
      <w:szCs w:val="2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8390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3C3C3C" w:themeColor="text1" w:themeTint="D8"/>
      <w:kern w:val="2"/>
      <w:sz w:val="22"/>
      <w:szCs w:val="2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8390B"/>
    <w:rPr>
      <w:rFonts w:asciiTheme="majorHAnsi" w:eastAsiaTheme="majorEastAsia" w:hAnsiTheme="majorHAnsi" w:cstheme="majorBidi"/>
      <w:color w:val="3A5F69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8390B"/>
    <w:rPr>
      <w:rFonts w:asciiTheme="majorHAnsi" w:eastAsiaTheme="majorEastAsia" w:hAnsiTheme="majorHAnsi" w:cstheme="majorBidi"/>
      <w:color w:val="3A5F69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8390B"/>
    <w:rPr>
      <w:rFonts w:eastAsiaTheme="majorEastAsia" w:cstheme="majorBidi"/>
      <w:color w:val="3A5F69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8390B"/>
    <w:rPr>
      <w:rFonts w:eastAsiaTheme="majorEastAsia" w:cstheme="majorBidi"/>
      <w:i/>
      <w:iCs/>
      <w:color w:val="3A5F69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8390B"/>
    <w:rPr>
      <w:rFonts w:eastAsiaTheme="majorEastAsia" w:cstheme="majorBidi"/>
      <w:color w:val="3A5F69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8390B"/>
    <w:rPr>
      <w:rFonts w:eastAsiaTheme="majorEastAsia" w:cstheme="majorBidi"/>
      <w:i/>
      <w:iCs/>
      <w:color w:val="69696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8390B"/>
    <w:rPr>
      <w:rFonts w:eastAsiaTheme="majorEastAsia" w:cstheme="majorBidi"/>
      <w:color w:val="69696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8390B"/>
    <w:rPr>
      <w:rFonts w:eastAsiaTheme="majorEastAsia" w:cstheme="majorBidi"/>
      <w:i/>
      <w:iCs/>
      <w:color w:val="3C3C3C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8390B"/>
    <w:rPr>
      <w:rFonts w:eastAsiaTheme="majorEastAsia" w:cstheme="majorBidi"/>
      <w:color w:val="3C3C3C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83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183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8390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69696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8390B"/>
    <w:rPr>
      <w:rFonts w:eastAsiaTheme="majorEastAsia" w:cstheme="majorBidi"/>
      <w:color w:val="69696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8390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525252" w:themeColor="text1" w:themeTint="BF"/>
      <w:kern w:val="2"/>
      <w:sz w:val="22"/>
      <w:szCs w:val="2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18390B"/>
    <w:rPr>
      <w:i/>
      <w:iCs/>
      <w:color w:val="525252" w:themeColor="text1" w:themeTint="BF"/>
    </w:rPr>
  </w:style>
  <w:style w:type="paragraph" w:styleId="Listeafsnit">
    <w:name w:val="List Paragraph"/>
    <w:basedOn w:val="Normal"/>
    <w:uiPriority w:val="34"/>
    <w:qFormat/>
    <w:rsid w:val="001839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18390B"/>
    <w:rPr>
      <w:i/>
      <w:iCs/>
      <w:color w:val="3A5F69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8390B"/>
    <w:pPr>
      <w:pBdr>
        <w:top w:val="single" w:sz="4" w:space="10" w:color="3A5F69" w:themeColor="accent1" w:themeShade="BF"/>
        <w:bottom w:val="single" w:sz="4" w:space="10" w:color="3A5F69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A5F69" w:themeColor="accent1" w:themeShade="BF"/>
      <w:kern w:val="2"/>
      <w:sz w:val="22"/>
      <w:szCs w:val="2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8390B"/>
    <w:rPr>
      <w:i/>
      <w:iCs/>
      <w:color w:val="3A5F69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8390B"/>
    <w:rPr>
      <w:b/>
      <w:bCs/>
      <w:smallCaps/>
      <w:color w:val="3A5F69" w:themeColor="accent1" w:themeShade="BF"/>
      <w:spacing w:val="5"/>
    </w:rPr>
  </w:style>
  <w:style w:type="paragraph" w:styleId="Sidefod">
    <w:name w:val="footer"/>
    <w:basedOn w:val="Normal"/>
    <w:link w:val="SidefodTegn"/>
    <w:uiPriority w:val="9"/>
    <w:semiHidden/>
    <w:rsid w:val="0018390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"/>
    <w:semiHidden/>
    <w:rsid w:val="0018390B"/>
    <w:rPr>
      <w:rFonts w:ascii="Arial" w:eastAsia="Times New Roman" w:hAnsi="Arial" w:cs="Times New Roman"/>
      <w:kern w:val="0"/>
      <w:sz w:val="14"/>
      <w:szCs w:val="24"/>
      <w14:ligatures w14:val="none"/>
    </w:rPr>
  </w:style>
  <w:style w:type="character" w:styleId="Hyperlink">
    <w:name w:val="Hyperlink"/>
    <w:uiPriority w:val="9"/>
    <w:semiHidden/>
    <w:rsid w:val="0018390B"/>
    <w:rPr>
      <w:color w:val="0000FF"/>
      <w:u w:val="single"/>
    </w:rPr>
  </w:style>
  <w:style w:type="character" w:styleId="Sidetal">
    <w:name w:val="page number"/>
    <w:uiPriority w:val="8"/>
    <w:semiHidden/>
    <w:rsid w:val="0018390B"/>
    <w:rPr>
      <w:rFonts w:ascii="Arial" w:hAnsi="Arial"/>
      <w:sz w:val="15"/>
    </w:rPr>
  </w:style>
  <w:style w:type="paragraph" w:customStyle="1" w:styleId="Template-DatoogRef">
    <w:name w:val="Template - Dato og Ref"/>
    <w:basedOn w:val="Normal"/>
    <w:uiPriority w:val="8"/>
    <w:semiHidden/>
    <w:rsid w:val="0018390B"/>
    <w:pPr>
      <w:tabs>
        <w:tab w:val="left" w:pos="181"/>
        <w:tab w:val="left" w:pos="454"/>
      </w:tabs>
      <w:spacing w:line="200" w:lineRule="atLeast"/>
    </w:pPr>
    <w:rPr>
      <w:noProof/>
      <w:sz w:val="15"/>
    </w:rPr>
  </w:style>
  <w:style w:type="paragraph" w:styleId="Sidehoved">
    <w:name w:val="header"/>
    <w:basedOn w:val="Normal"/>
    <w:link w:val="SidehovedTegn"/>
    <w:uiPriority w:val="99"/>
    <w:unhideWhenUsed/>
    <w:rsid w:val="006E7AA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E7AA8"/>
    <w:rPr>
      <w:rFonts w:ascii="Arial" w:eastAsia="Times New Roman" w:hAnsi="Arial" w:cs="Times New Roman"/>
      <w:kern w:val="0"/>
      <w:sz w:val="18"/>
      <w:szCs w:val="24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E55526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E829BD"/>
    <w:pPr>
      <w:spacing w:after="0" w:line="240" w:lineRule="auto"/>
    </w:pPr>
    <w:rPr>
      <w:rFonts w:ascii="Arial" w:eastAsia="Times New Roman" w:hAnsi="Arial" w:cs="Times New Roman"/>
      <w:kern w:val="0"/>
      <w:sz w:val="18"/>
      <w:szCs w:val="24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A3C7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A3C7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A3C73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A3C7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A3C73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character" w:styleId="BesgtLink">
    <w:name w:val="FollowedHyperlink"/>
    <w:basedOn w:val="Standardskrifttypeiafsnit"/>
    <w:uiPriority w:val="99"/>
    <w:semiHidden/>
    <w:unhideWhenUsed/>
    <w:rsid w:val="00B17023"/>
    <w:rPr>
      <w:color w:val="800080" w:themeColor="followedHyperlink"/>
      <w:u w:val="single"/>
    </w:rPr>
  </w:style>
  <w:style w:type="paragraph" w:customStyle="1" w:styleId="Normal-Afsenderinfo">
    <w:name w:val="Normal - Afsender info"/>
    <w:basedOn w:val="Normal"/>
    <w:uiPriority w:val="2"/>
    <w:semiHidden/>
    <w:rsid w:val="00C95195"/>
    <w:pPr>
      <w:tabs>
        <w:tab w:val="left" w:pos="284"/>
      </w:tabs>
      <w:spacing w:line="200" w:lineRule="atLeast"/>
    </w:pPr>
    <w:rPr>
      <w:sz w:val="16"/>
    </w:rPr>
  </w:style>
  <w:style w:type="paragraph" w:customStyle="1" w:styleId="Normal-AfsenderNavn">
    <w:name w:val="Normal - Afsender Navn"/>
    <w:basedOn w:val="Normal"/>
    <w:next w:val="Normal-Afsenderinfo"/>
    <w:uiPriority w:val="2"/>
    <w:semiHidden/>
    <w:rsid w:val="00C95195"/>
    <w:pPr>
      <w:spacing w:line="200" w:lineRule="atLeast"/>
    </w:pPr>
    <w:rPr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hhb@ens.d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rh@ens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LF_standard_1">
      <a:dk1>
        <a:srgbClr val="191919"/>
      </a:dk1>
      <a:lt1>
        <a:sysClr val="window" lastClr="FFFFFF"/>
      </a:lt1>
      <a:dk2>
        <a:srgbClr val="191919"/>
      </a:dk2>
      <a:lt2>
        <a:srgbClr val="FDFDFD"/>
      </a:lt2>
      <a:accent1>
        <a:srgbClr val="4E808D"/>
      </a:accent1>
      <a:accent2>
        <a:srgbClr val="7DA3AD"/>
      </a:accent2>
      <a:accent3>
        <a:srgbClr val="9DDCF9"/>
      </a:accent3>
      <a:accent4>
        <a:srgbClr val="4F734A"/>
      </a:accent4>
      <a:accent5>
        <a:srgbClr val="7C9877"/>
      </a:accent5>
      <a:accent6>
        <a:srgbClr val="B4C5B0"/>
      </a:accent6>
      <a:hlink>
        <a:srgbClr val="0000FF"/>
      </a:hlink>
      <a:folHlink>
        <a:srgbClr val="800080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0C7F2BCD6094F9C2E57A5D71E7757" ma:contentTypeVersion="6" ma:contentTypeDescription="Opret et nyt dokument." ma:contentTypeScope="" ma:versionID="e1b652b08f543ac1be131a8a47177014">
  <xsd:schema xmlns:xsd="http://www.w3.org/2001/XMLSchema" xmlns:xs="http://www.w3.org/2001/XMLSchema" xmlns:p="http://schemas.microsoft.com/office/2006/metadata/properties" xmlns:ns2="def90719-690d-4274-8ece-188067a78530" xmlns:ns3="43937c57-17b6-4354-a9a1-8a40450a1f94" xmlns:ns4="e20ee2f4-bb26-49ab-9dc0-eff273c7b46b" xmlns:ns5="23286cf3-ce8a-4ea4-9f26-559ee9b36b6c" targetNamespace="http://schemas.microsoft.com/office/2006/metadata/properties" ma:root="true" ma:fieldsID="38bf6d2bd5f8b9d3fd13345d79f5997e" ns2:_="" ns3:_="" ns4:_="" ns5:_="">
    <xsd:import namespace="def90719-690d-4274-8ece-188067a78530"/>
    <xsd:import namespace="43937c57-17b6-4354-a9a1-8a40450a1f94"/>
    <xsd:import namespace="e20ee2f4-bb26-49ab-9dc0-eff273c7b46b"/>
    <xsd:import namespace="23286cf3-ce8a-4ea4-9f26-559ee9b36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90719-690d-4274-8ece-188067a78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37c57-17b6-4354-a9a1-8a40450a1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ee2f4-bb26-49ab-9dc0-eff273c7b4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b143f3e4-04b7-45de-b0be-ece0b09ab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86cf3-ce8a-4ea4-9f26-559ee9b36b6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14af955-2e8c-42bc-aaf5-bf23155a0ba8}" ma:internalName="TaxCatchAll" ma:showField="CatchAllData" ma:web="23286cf3-ce8a-4ea4-9f26-559ee9b36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286cf3-ce8a-4ea4-9f26-559ee9b36b6c" xsi:nil="true"/>
    <lcf76f155ced4ddcb4097134ff3c332f xmlns="e20ee2f4-bb26-49ab-9dc0-eff273c7b4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8A2F90-5773-4027-8A70-75C25FF4A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10F06-0A45-4724-8532-5070047ED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90719-690d-4274-8ece-188067a78530"/>
    <ds:schemaRef ds:uri="43937c57-17b6-4354-a9a1-8a40450a1f94"/>
    <ds:schemaRef ds:uri="e20ee2f4-bb26-49ab-9dc0-eff273c7b46b"/>
    <ds:schemaRef ds:uri="23286cf3-ce8a-4ea4-9f26-559ee9b36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59483B-7782-4287-A4B5-0E67B20389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E3BE93-00FB-46FE-B6D6-3EA51FF485FD}">
  <ds:schemaRefs>
    <ds:schemaRef ds:uri="http://schemas.microsoft.com/office/2006/metadata/properties"/>
    <ds:schemaRef ds:uri="http://schemas.microsoft.com/office/infopath/2007/PartnerControls"/>
    <ds:schemaRef ds:uri="23286cf3-ce8a-4ea4-9f26-559ee9b36b6c"/>
    <ds:schemaRef ds:uri="e20ee2f4-bb26-49ab-9dc0-eff273c7b4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1318</Words>
  <Characters>8769</Characters>
  <Application>Microsoft Office Word</Application>
  <DocSecurity>0</DocSecurity>
  <Lines>165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Christensen</dc:creator>
  <cp:keywords/>
  <dc:description/>
  <cp:lastModifiedBy>Finn Christensen</cp:lastModifiedBy>
  <cp:revision>13</cp:revision>
  <cp:lastPrinted>2026-01-13T12:09:00Z</cp:lastPrinted>
  <dcterms:created xsi:type="dcterms:W3CDTF">2026-01-13T10:04:00Z</dcterms:created>
  <dcterms:modified xsi:type="dcterms:W3CDTF">2026-01-13T12:45:00Z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0x01010077D0C7F2BCD6094F9C2E57A5D71E7757</vt:lpwstr>
  </property>
</Properties>
</file>